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7F85F" w14:textId="77777777" w:rsidR="00712CF5" w:rsidRDefault="00787E6B">
      <w:pPr>
        <w:spacing w:before="79"/>
        <w:ind w:right="2"/>
        <w:jc w:val="center"/>
        <w:rPr>
          <w:b/>
        </w:rPr>
      </w:pPr>
      <w:r>
        <w:rPr>
          <w:b/>
          <w:u w:val="single"/>
        </w:rPr>
        <w:t>SAŽETAK</w:t>
      </w:r>
      <w:r>
        <w:rPr>
          <w:b/>
          <w:spacing w:val="-11"/>
          <w:u w:val="single"/>
        </w:rPr>
        <w:t xml:space="preserve"> </w:t>
      </w:r>
      <w:r>
        <w:rPr>
          <w:b/>
          <w:u w:val="single"/>
        </w:rPr>
        <w:t>KARAKTERISTIKA</w:t>
      </w:r>
      <w:r>
        <w:rPr>
          <w:b/>
          <w:spacing w:val="-10"/>
          <w:u w:val="single"/>
        </w:rPr>
        <w:t xml:space="preserve"> </w:t>
      </w:r>
      <w:r>
        <w:rPr>
          <w:b/>
          <w:spacing w:val="-4"/>
          <w:u w:val="single"/>
        </w:rPr>
        <w:t>LEKA</w:t>
      </w:r>
    </w:p>
    <w:p w14:paraId="5747F860" w14:textId="77777777" w:rsidR="00712CF5" w:rsidRDefault="00712CF5">
      <w:pPr>
        <w:pStyle w:val="BodyText"/>
        <w:ind w:left="0"/>
        <w:rPr>
          <w:b/>
        </w:rPr>
      </w:pPr>
    </w:p>
    <w:p w14:paraId="5747F861" w14:textId="77777777" w:rsidR="00712CF5" w:rsidRDefault="00712CF5">
      <w:pPr>
        <w:pStyle w:val="BodyText"/>
        <w:ind w:left="0"/>
        <w:rPr>
          <w:b/>
        </w:rPr>
      </w:pPr>
    </w:p>
    <w:p w14:paraId="5747F862" w14:textId="77777777" w:rsidR="00712CF5" w:rsidRDefault="00712CF5">
      <w:pPr>
        <w:pStyle w:val="BodyText"/>
        <w:spacing w:before="202"/>
        <w:ind w:left="0"/>
        <w:rPr>
          <w:b/>
        </w:rPr>
      </w:pPr>
    </w:p>
    <w:p w14:paraId="5747F863" w14:textId="77777777" w:rsidR="00712CF5" w:rsidRDefault="00787E6B">
      <w:pPr>
        <w:pStyle w:val="Heading1"/>
        <w:numPr>
          <w:ilvl w:val="0"/>
          <w:numId w:val="3"/>
        </w:numPr>
        <w:tabs>
          <w:tab w:val="left" w:pos="360"/>
        </w:tabs>
        <w:spacing w:before="1"/>
        <w:ind w:left="360" w:hanging="220"/>
      </w:pPr>
      <w:r>
        <w:t xml:space="preserve">IME </w:t>
      </w:r>
      <w:r>
        <w:rPr>
          <w:spacing w:val="-4"/>
        </w:rPr>
        <w:t>LEKA</w:t>
      </w:r>
    </w:p>
    <w:p w14:paraId="5747F864" w14:textId="77777777" w:rsidR="00712CF5" w:rsidRDefault="00787E6B">
      <w:pPr>
        <w:pStyle w:val="BodyText"/>
        <w:spacing w:before="193" w:line="482" w:lineRule="auto"/>
        <w:ind w:right="6837"/>
      </w:pPr>
      <w:r>
        <w:t>Cineset</w:t>
      </w:r>
      <w:r>
        <w:rPr>
          <w:vertAlign w:val="superscript"/>
        </w:rPr>
        <w:t>®</w:t>
      </w:r>
      <w:r>
        <w:t>,</w:t>
      </w:r>
      <w:r>
        <w:rPr>
          <w:spacing w:val="-6"/>
        </w:rPr>
        <w:t xml:space="preserve"> </w:t>
      </w:r>
      <w:r>
        <w:t>30</w:t>
      </w:r>
      <w:r>
        <w:rPr>
          <w:spacing w:val="-6"/>
        </w:rPr>
        <w:t xml:space="preserve"> </w:t>
      </w:r>
      <w:r>
        <w:t>mg,</w:t>
      </w:r>
      <w:r>
        <w:rPr>
          <w:spacing w:val="-11"/>
        </w:rPr>
        <w:t xml:space="preserve"> </w:t>
      </w:r>
      <w:r>
        <w:t>film</w:t>
      </w:r>
      <w:r>
        <w:rPr>
          <w:spacing w:val="-11"/>
        </w:rPr>
        <w:t xml:space="preserve"> </w:t>
      </w:r>
      <w:r>
        <w:t>tablete INN: sinakalcet</w:t>
      </w:r>
    </w:p>
    <w:p w14:paraId="5747F865" w14:textId="77777777" w:rsidR="00712CF5" w:rsidRDefault="00787E6B">
      <w:pPr>
        <w:pStyle w:val="Heading1"/>
        <w:numPr>
          <w:ilvl w:val="0"/>
          <w:numId w:val="3"/>
        </w:numPr>
        <w:tabs>
          <w:tab w:val="left" w:pos="358"/>
        </w:tabs>
        <w:spacing w:before="202"/>
        <w:ind w:left="358" w:hanging="218"/>
      </w:pPr>
      <w:r>
        <w:t>KVALITATIVNI</w:t>
      </w:r>
      <w:r>
        <w:rPr>
          <w:spacing w:val="-9"/>
        </w:rPr>
        <w:t xml:space="preserve"> </w:t>
      </w:r>
      <w:r>
        <w:t>I</w:t>
      </w:r>
      <w:r>
        <w:rPr>
          <w:spacing w:val="-9"/>
        </w:rPr>
        <w:t xml:space="preserve"> </w:t>
      </w:r>
      <w:r>
        <w:t>KVANTITATIVNI</w:t>
      </w:r>
      <w:r>
        <w:rPr>
          <w:spacing w:val="-8"/>
        </w:rPr>
        <w:t xml:space="preserve"> </w:t>
      </w:r>
      <w:r>
        <w:rPr>
          <w:spacing w:val="-2"/>
        </w:rPr>
        <w:t>SASTAV</w:t>
      </w:r>
    </w:p>
    <w:p w14:paraId="5747F866" w14:textId="77777777" w:rsidR="00712CF5" w:rsidRDefault="00787E6B">
      <w:pPr>
        <w:pStyle w:val="BodyText"/>
        <w:spacing w:before="194"/>
      </w:pPr>
      <w:r>
        <w:t>Jedna</w:t>
      </w:r>
      <w:r>
        <w:rPr>
          <w:spacing w:val="-7"/>
        </w:rPr>
        <w:t xml:space="preserve"> </w:t>
      </w:r>
      <w:r>
        <w:t>tableta</w:t>
      </w:r>
      <w:r>
        <w:rPr>
          <w:spacing w:val="-6"/>
        </w:rPr>
        <w:t xml:space="preserve"> </w:t>
      </w:r>
      <w:r>
        <w:t>sadrži</w:t>
      </w:r>
      <w:r>
        <w:rPr>
          <w:spacing w:val="-6"/>
        </w:rPr>
        <w:t xml:space="preserve"> </w:t>
      </w:r>
      <w:r>
        <w:t>30</w:t>
      </w:r>
      <w:r>
        <w:rPr>
          <w:spacing w:val="-6"/>
        </w:rPr>
        <w:t xml:space="preserve"> </w:t>
      </w:r>
      <w:r>
        <w:t>mg</w:t>
      </w:r>
      <w:r>
        <w:rPr>
          <w:spacing w:val="-6"/>
        </w:rPr>
        <w:t xml:space="preserve"> </w:t>
      </w:r>
      <w:r>
        <w:t>sinakalceta</w:t>
      </w:r>
      <w:r>
        <w:rPr>
          <w:spacing w:val="-6"/>
        </w:rPr>
        <w:t xml:space="preserve"> </w:t>
      </w:r>
      <w:r>
        <w:t>(u</w:t>
      </w:r>
      <w:r>
        <w:rPr>
          <w:spacing w:val="-6"/>
        </w:rPr>
        <w:t xml:space="preserve"> </w:t>
      </w:r>
      <w:r>
        <w:t>obliku</w:t>
      </w:r>
      <w:r>
        <w:rPr>
          <w:spacing w:val="-6"/>
        </w:rPr>
        <w:t xml:space="preserve"> </w:t>
      </w:r>
      <w:r>
        <w:t>sinakalcet-</w:t>
      </w:r>
      <w:r>
        <w:rPr>
          <w:spacing w:val="-2"/>
        </w:rPr>
        <w:t>hidrohlorida).</w:t>
      </w:r>
    </w:p>
    <w:p w14:paraId="5747F867" w14:textId="77777777" w:rsidR="00712CF5" w:rsidRDefault="00787E6B">
      <w:pPr>
        <w:pStyle w:val="BodyText"/>
        <w:spacing w:before="251"/>
      </w:pPr>
      <w:r>
        <w:t>Za</w:t>
      </w:r>
      <w:r>
        <w:rPr>
          <w:spacing w:val="-6"/>
        </w:rPr>
        <w:t xml:space="preserve"> </w:t>
      </w:r>
      <w:r>
        <w:t>listu</w:t>
      </w:r>
      <w:r>
        <w:rPr>
          <w:spacing w:val="-4"/>
        </w:rPr>
        <w:t xml:space="preserve"> </w:t>
      </w:r>
      <w:r>
        <w:t>svih</w:t>
      </w:r>
      <w:r>
        <w:rPr>
          <w:spacing w:val="-5"/>
        </w:rPr>
        <w:t xml:space="preserve"> </w:t>
      </w:r>
      <w:r>
        <w:t>pomoćnih</w:t>
      </w:r>
      <w:r>
        <w:rPr>
          <w:spacing w:val="-6"/>
        </w:rPr>
        <w:t xml:space="preserve"> </w:t>
      </w:r>
      <w:r>
        <w:t>supstanci,</w:t>
      </w:r>
      <w:r>
        <w:rPr>
          <w:spacing w:val="-6"/>
        </w:rPr>
        <w:t xml:space="preserve"> </w:t>
      </w:r>
      <w:r>
        <w:t>videti</w:t>
      </w:r>
      <w:r>
        <w:rPr>
          <w:spacing w:val="-7"/>
        </w:rPr>
        <w:t xml:space="preserve"> </w:t>
      </w:r>
      <w:r>
        <w:t>odeljak</w:t>
      </w:r>
      <w:r>
        <w:rPr>
          <w:spacing w:val="-5"/>
        </w:rPr>
        <w:t xml:space="preserve"> </w:t>
      </w:r>
      <w:r>
        <w:rPr>
          <w:spacing w:val="-4"/>
        </w:rPr>
        <w:t>6.1.</w:t>
      </w:r>
    </w:p>
    <w:p w14:paraId="5747F868" w14:textId="77777777" w:rsidR="00712CF5" w:rsidRDefault="00787E6B">
      <w:pPr>
        <w:pStyle w:val="BodyText"/>
        <w:spacing w:before="1"/>
      </w:pPr>
      <w:r>
        <w:t>Pomoćna</w:t>
      </w:r>
      <w:r>
        <w:rPr>
          <w:spacing w:val="-3"/>
        </w:rPr>
        <w:t xml:space="preserve"> </w:t>
      </w:r>
      <w:r>
        <w:t>supstanca</w:t>
      </w:r>
      <w:r>
        <w:rPr>
          <w:spacing w:val="-6"/>
        </w:rPr>
        <w:t xml:space="preserve"> </w:t>
      </w:r>
      <w:r>
        <w:t>sa</w:t>
      </w:r>
      <w:r>
        <w:rPr>
          <w:spacing w:val="-9"/>
        </w:rPr>
        <w:t xml:space="preserve"> </w:t>
      </w:r>
      <w:r>
        <w:t>potvrđenim</w:t>
      </w:r>
      <w:r>
        <w:rPr>
          <w:spacing w:val="-8"/>
        </w:rPr>
        <w:t xml:space="preserve"> </w:t>
      </w:r>
      <w:r>
        <w:t>dejstvom:</w:t>
      </w:r>
      <w:r>
        <w:rPr>
          <w:spacing w:val="-5"/>
        </w:rPr>
        <w:t xml:space="preserve"> </w:t>
      </w:r>
      <w:r>
        <w:t>laktoza,</w:t>
      </w:r>
      <w:r>
        <w:rPr>
          <w:spacing w:val="-7"/>
        </w:rPr>
        <w:t xml:space="preserve"> </w:t>
      </w:r>
      <w:r>
        <w:t>monohidrat</w:t>
      </w:r>
      <w:r>
        <w:rPr>
          <w:spacing w:val="-4"/>
        </w:rPr>
        <w:t xml:space="preserve"> </w:t>
      </w:r>
      <w:r>
        <w:t>(1,764</w:t>
      </w:r>
      <w:r>
        <w:rPr>
          <w:spacing w:val="-4"/>
        </w:rPr>
        <w:t xml:space="preserve"> mg).</w:t>
      </w:r>
    </w:p>
    <w:p w14:paraId="5747F869" w14:textId="77777777" w:rsidR="00712CF5" w:rsidRDefault="00712CF5">
      <w:pPr>
        <w:pStyle w:val="BodyText"/>
        <w:spacing w:before="204"/>
        <w:ind w:left="0"/>
      </w:pPr>
    </w:p>
    <w:p w14:paraId="5747F86A" w14:textId="77777777" w:rsidR="00712CF5" w:rsidRDefault="00787E6B">
      <w:pPr>
        <w:pStyle w:val="Heading1"/>
        <w:numPr>
          <w:ilvl w:val="0"/>
          <w:numId w:val="3"/>
        </w:numPr>
        <w:tabs>
          <w:tab w:val="left" w:pos="358"/>
        </w:tabs>
        <w:spacing w:before="1"/>
        <w:ind w:left="358" w:hanging="218"/>
      </w:pPr>
      <w:r>
        <w:t>FARMACEUTSKI</w:t>
      </w:r>
      <w:r>
        <w:rPr>
          <w:spacing w:val="-12"/>
        </w:rPr>
        <w:t xml:space="preserve"> </w:t>
      </w:r>
      <w:r>
        <w:rPr>
          <w:spacing w:val="-2"/>
        </w:rPr>
        <w:t>OBLIK</w:t>
      </w:r>
    </w:p>
    <w:p w14:paraId="5747F86B" w14:textId="77777777" w:rsidR="00712CF5" w:rsidRDefault="00787E6B">
      <w:pPr>
        <w:pStyle w:val="BodyText"/>
        <w:spacing w:before="198"/>
      </w:pPr>
      <w:r>
        <w:t>Film</w:t>
      </w:r>
      <w:r>
        <w:rPr>
          <w:spacing w:val="-4"/>
        </w:rPr>
        <w:t xml:space="preserve"> </w:t>
      </w:r>
      <w:r>
        <w:rPr>
          <w:spacing w:val="-2"/>
        </w:rPr>
        <w:t>tableta.</w:t>
      </w:r>
    </w:p>
    <w:p w14:paraId="5747F86C" w14:textId="77777777" w:rsidR="00712CF5" w:rsidRDefault="00787E6B">
      <w:pPr>
        <w:pStyle w:val="BodyText"/>
        <w:spacing w:before="251"/>
      </w:pPr>
      <w:r>
        <w:t>Zelena,</w:t>
      </w:r>
      <w:r>
        <w:rPr>
          <w:spacing w:val="-7"/>
        </w:rPr>
        <w:t xml:space="preserve"> </w:t>
      </w:r>
      <w:r>
        <w:t>ovalna</w:t>
      </w:r>
      <w:r>
        <w:rPr>
          <w:spacing w:val="-6"/>
        </w:rPr>
        <w:t xml:space="preserve"> </w:t>
      </w:r>
      <w:r>
        <w:t>film</w:t>
      </w:r>
      <w:r>
        <w:rPr>
          <w:spacing w:val="-5"/>
        </w:rPr>
        <w:t xml:space="preserve"> </w:t>
      </w:r>
      <w:r>
        <w:t>tableta</w:t>
      </w:r>
      <w:r>
        <w:rPr>
          <w:spacing w:val="-5"/>
        </w:rPr>
        <w:t xml:space="preserve"> </w:t>
      </w:r>
      <w:r>
        <w:t>sa</w:t>
      </w:r>
      <w:r>
        <w:rPr>
          <w:spacing w:val="-3"/>
        </w:rPr>
        <w:t xml:space="preserve"> </w:t>
      </w:r>
      <w:r>
        <w:t>utisnutim</w:t>
      </w:r>
      <w:r>
        <w:rPr>
          <w:spacing w:val="-5"/>
        </w:rPr>
        <w:t xml:space="preserve"> </w:t>
      </w:r>
      <w:r>
        <w:t>brojem</w:t>
      </w:r>
      <w:r>
        <w:rPr>
          <w:spacing w:val="-10"/>
        </w:rPr>
        <w:t xml:space="preserve"> </w:t>
      </w:r>
      <w:r>
        <w:t>“30”</w:t>
      </w:r>
      <w:r>
        <w:rPr>
          <w:spacing w:val="-2"/>
        </w:rPr>
        <w:t xml:space="preserve"> </w:t>
      </w:r>
      <w:r>
        <w:t>na</w:t>
      </w:r>
      <w:r>
        <w:rPr>
          <w:spacing w:val="-5"/>
        </w:rPr>
        <w:t xml:space="preserve"> </w:t>
      </w:r>
      <w:r>
        <w:t>jednoj</w:t>
      </w:r>
      <w:r>
        <w:rPr>
          <w:spacing w:val="-5"/>
        </w:rPr>
        <w:t xml:space="preserve"> </w:t>
      </w:r>
      <w:r>
        <w:rPr>
          <w:spacing w:val="-2"/>
        </w:rPr>
        <w:t>strani.</w:t>
      </w:r>
    </w:p>
    <w:p w14:paraId="5747F86D" w14:textId="77777777" w:rsidR="00712CF5" w:rsidRDefault="00787E6B">
      <w:pPr>
        <w:pStyle w:val="Heading1"/>
        <w:numPr>
          <w:ilvl w:val="0"/>
          <w:numId w:val="3"/>
        </w:numPr>
        <w:tabs>
          <w:tab w:val="left" w:pos="358"/>
        </w:tabs>
        <w:spacing w:before="208"/>
        <w:ind w:left="358" w:hanging="218"/>
      </w:pPr>
      <w:r>
        <w:t>KLINIČKI</w:t>
      </w:r>
      <w:r>
        <w:rPr>
          <w:spacing w:val="-8"/>
        </w:rPr>
        <w:t xml:space="preserve"> </w:t>
      </w:r>
      <w:r>
        <w:rPr>
          <w:spacing w:val="-2"/>
        </w:rPr>
        <w:t>PODACI</w:t>
      </w:r>
    </w:p>
    <w:p w14:paraId="5747F86E" w14:textId="77777777" w:rsidR="00712CF5" w:rsidRDefault="00787E6B">
      <w:pPr>
        <w:pStyle w:val="Heading2"/>
        <w:numPr>
          <w:ilvl w:val="1"/>
          <w:numId w:val="3"/>
        </w:numPr>
        <w:tabs>
          <w:tab w:val="left" w:pos="522"/>
        </w:tabs>
        <w:spacing w:before="198"/>
        <w:ind w:left="522" w:hanging="382"/>
      </w:pPr>
      <w:r>
        <w:t>Terapijske</w:t>
      </w:r>
      <w:r>
        <w:rPr>
          <w:spacing w:val="-10"/>
        </w:rPr>
        <w:t xml:space="preserve"> </w:t>
      </w:r>
      <w:r>
        <w:rPr>
          <w:spacing w:val="-2"/>
        </w:rPr>
        <w:t>indikacije</w:t>
      </w:r>
    </w:p>
    <w:p w14:paraId="5747F86F" w14:textId="77777777" w:rsidR="00712CF5" w:rsidRDefault="00787E6B">
      <w:pPr>
        <w:pStyle w:val="BodyText"/>
        <w:spacing w:before="246"/>
      </w:pPr>
      <w:r>
        <w:rPr>
          <w:u w:val="single"/>
        </w:rPr>
        <w:t>Sekundarni</w:t>
      </w:r>
      <w:r>
        <w:rPr>
          <w:spacing w:val="-8"/>
          <w:u w:val="single"/>
        </w:rPr>
        <w:t xml:space="preserve"> </w:t>
      </w:r>
      <w:r>
        <w:rPr>
          <w:spacing w:val="-2"/>
          <w:u w:val="single"/>
        </w:rPr>
        <w:t>hiperparatireoidizam</w:t>
      </w:r>
    </w:p>
    <w:p w14:paraId="5747F870" w14:textId="77777777" w:rsidR="00712CF5" w:rsidRDefault="00787E6B">
      <w:pPr>
        <w:spacing w:before="251"/>
        <w:ind w:left="140"/>
        <w:rPr>
          <w:i/>
        </w:rPr>
      </w:pPr>
      <w:r>
        <w:rPr>
          <w:i/>
          <w:spacing w:val="-2"/>
          <w:u w:val="single"/>
        </w:rPr>
        <w:t>Odrasli</w:t>
      </w:r>
    </w:p>
    <w:p w14:paraId="5747F871" w14:textId="77777777" w:rsidR="00712CF5" w:rsidRDefault="00787E6B">
      <w:pPr>
        <w:pStyle w:val="BodyText"/>
        <w:spacing w:before="2"/>
        <w:ind w:right="1145"/>
      </w:pPr>
      <w:r>
        <w:t>Terapija sekundarnog hiperparatireoidizma (HPT) kod odraslih pacijenata sa bolešću bubrega u terminalnoj fazi (ESRD) koji su na terapiji održavanja dijalizom.</w:t>
      </w:r>
    </w:p>
    <w:p w14:paraId="5747F872" w14:textId="77777777" w:rsidR="00712CF5" w:rsidRDefault="00787E6B">
      <w:pPr>
        <w:spacing w:before="252"/>
        <w:ind w:left="140"/>
        <w:jc w:val="both"/>
        <w:rPr>
          <w:i/>
        </w:rPr>
      </w:pPr>
      <w:r>
        <w:rPr>
          <w:i/>
          <w:u w:val="single"/>
        </w:rPr>
        <w:t>Pedijatrijska</w:t>
      </w:r>
      <w:r>
        <w:rPr>
          <w:i/>
          <w:spacing w:val="-13"/>
          <w:u w:val="single"/>
        </w:rPr>
        <w:t xml:space="preserve"> </w:t>
      </w:r>
      <w:r>
        <w:rPr>
          <w:i/>
          <w:spacing w:val="-2"/>
          <w:u w:val="single"/>
        </w:rPr>
        <w:t>populacija</w:t>
      </w:r>
    </w:p>
    <w:p w14:paraId="5747F873" w14:textId="77777777" w:rsidR="00712CF5" w:rsidRDefault="00787E6B">
      <w:pPr>
        <w:pStyle w:val="BodyText"/>
        <w:spacing w:before="1"/>
        <w:ind w:right="1157"/>
        <w:jc w:val="both"/>
      </w:pPr>
      <w:r>
        <w:t>Lečenje sekundarnog hiperparatireoidizma (HPT) kod dece uzrasta od 3 godine i starije sa terminalnim stadijumom bolesti bubrega na terapiji održavanja dijalizom kod kojih sekundarni HPT nije adekvatno kontrolisan standardnim načinom lečenja (videti odeljak 4.4).</w:t>
      </w:r>
    </w:p>
    <w:p w14:paraId="5747F874" w14:textId="77777777" w:rsidR="00712CF5" w:rsidRDefault="00712CF5">
      <w:pPr>
        <w:pStyle w:val="BodyText"/>
        <w:spacing w:before="1"/>
        <w:ind w:left="0"/>
      </w:pPr>
    </w:p>
    <w:p w14:paraId="5747F875" w14:textId="77777777" w:rsidR="00712CF5" w:rsidRDefault="00787E6B">
      <w:pPr>
        <w:pStyle w:val="BodyText"/>
        <w:ind w:right="1157"/>
        <w:jc w:val="both"/>
      </w:pPr>
      <w:r>
        <w:t>Lek Cineset može biti deo terapijskog režima koji uključuje supstance koje vezuju fosfate i/ili sterole vitamina D, kao što je preporučeno (videti odeljak 5.1).</w:t>
      </w:r>
    </w:p>
    <w:p w14:paraId="5747F876" w14:textId="77777777" w:rsidR="00712CF5" w:rsidRDefault="00712CF5">
      <w:pPr>
        <w:pStyle w:val="BodyText"/>
        <w:ind w:left="0"/>
      </w:pPr>
    </w:p>
    <w:p w14:paraId="5747F877" w14:textId="77777777" w:rsidR="00712CF5" w:rsidRDefault="00787E6B">
      <w:pPr>
        <w:pStyle w:val="BodyText"/>
        <w:jc w:val="both"/>
      </w:pPr>
      <w:r>
        <w:rPr>
          <w:u w:val="single"/>
        </w:rPr>
        <w:t>Karcinom</w:t>
      </w:r>
      <w:r>
        <w:rPr>
          <w:spacing w:val="-9"/>
          <w:u w:val="single"/>
        </w:rPr>
        <w:t xml:space="preserve"> </w:t>
      </w:r>
      <w:r>
        <w:rPr>
          <w:u w:val="single"/>
        </w:rPr>
        <w:t>paratireoidnih</w:t>
      </w:r>
      <w:r>
        <w:rPr>
          <w:spacing w:val="-8"/>
          <w:u w:val="single"/>
        </w:rPr>
        <w:t xml:space="preserve"> </w:t>
      </w:r>
      <w:r>
        <w:rPr>
          <w:u w:val="single"/>
        </w:rPr>
        <w:t>žlezda</w:t>
      </w:r>
      <w:r>
        <w:rPr>
          <w:spacing w:val="-8"/>
          <w:u w:val="single"/>
        </w:rPr>
        <w:t xml:space="preserve"> </w:t>
      </w:r>
      <w:r>
        <w:rPr>
          <w:u w:val="single"/>
        </w:rPr>
        <w:t>i</w:t>
      </w:r>
      <w:r>
        <w:rPr>
          <w:spacing w:val="-9"/>
          <w:u w:val="single"/>
        </w:rPr>
        <w:t xml:space="preserve"> </w:t>
      </w:r>
      <w:r>
        <w:rPr>
          <w:u w:val="single"/>
        </w:rPr>
        <w:t>primarni</w:t>
      </w:r>
      <w:r>
        <w:rPr>
          <w:spacing w:val="-8"/>
          <w:u w:val="single"/>
        </w:rPr>
        <w:t xml:space="preserve"> </w:t>
      </w:r>
      <w:r>
        <w:rPr>
          <w:u w:val="single"/>
        </w:rPr>
        <w:t>hiperparatireoidizam</w:t>
      </w:r>
      <w:r>
        <w:rPr>
          <w:spacing w:val="-7"/>
          <w:u w:val="single"/>
        </w:rPr>
        <w:t xml:space="preserve"> </w:t>
      </w:r>
      <w:r>
        <w:rPr>
          <w:u w:val="single"/>
        </w:rPr>
        <w:t>kod</w:t>
      </w:r>
      <w:r>
        <w:rPr>
          <w:spacing w:val="-10"/>
          <w:u w:val="single"/>
        </w:rPr>
        <w:t xml:space="preserve"> </w:t>
      </w:r>
      <w:r>
        <w:rPr>
          <w:spacing w:val="-2"/>
          <w:u w:val="single"/>
        </w:rPr>
        <w:t>odraslih</w:t>
      </w:r>
    </w:p>
    <w:p w14:paraId="5747F878" w14:textId="77777777" w:rsidR="00712CF5" w:rsidRDefault="00787E6B">
      <w:pPr>
        <w:pStyle w:val="BodyText"/>
        <w:spacing w:before="251"/>
        <w:jc w:val="both"/>
      </w:pPr>
      <w:r>
        <w:t>Smanjenje</w:t>
      </w:r>
      <w:r>
        <w:rPr>
          <w:spacing w:val="-11"/>
        </w:rPr>
        <w:t xml:space="preserve"> </w:t>
      </w:r>
      <w:r>
        <w:t>hiperkalcemije</w:t>
      </w:r>
      <w:r>
        <w:rPr>
          <w:spacing w:val="-5"/>
        </w:rPr>
        <w:t xml:space="preserve"> </w:t>
      </w:r>
      <w:r>
        <w:t>kod</w:t>
      </w:r>
      <w:r>
        <w:rPr>
          <w:spacing w:val="-7"/>
        </w:rPr>
        <w:t xml:space="preserve"> </w:t>
      </w:r>
      <w:r>
        <w:t>odraslih</w:t>
      </w:r>
      <w:r>
        <w:rPr>
          <w:spacing w:val="-8"/>
        </w:rPr>
        <w:t xml:space="preserve"> </w:t>
      </w:r>
      <w:r>
        <w:t>pacijenata</w:t>
      </w:r>
      <w:r>
        <w:rPr>
          <w:spacing w:val="-5"/>
        </w:rPr>
        <w:t xml:space="preserve"> sa:</w:t>
      </w:r>
    </w:p>
    <w:p w14:paraId="5747F879" w14:textId="77777777" w:rsidR="00712CF5" w:rsidRDefault="00787E6B">
      <w:pPr>
        <w:pStyle w:val="ListParagraph"/>
        <w:numPr>
          <w:ilvl w:val="0"/>
          <w:numId w:val="2"/>
        </w:numPr>
        <w:tabs>
          <w:tab w:val="left" w:pos="422"/>
        </w:tabs>
        <w:spacing w:before="1"/>
        <w:ind w:left="422" w:hanging="282"/>
        <w:jc w:val="both"/>
      </w:pPr>
      <w:r>
        <w:t>karcinomom</w:t>
      </w:r>
      <w:r>
        <w:rPr>
          <w:spacing w:val="-12"/>
        </w:rPr>
        <w:t xml:space="preserve"> </w:t>
      </w:r>
      <w:r>
        <w:t>paratireoidnih</w:t>
      </w:r>
      <w:r>
        <w:rPr>
          <w:spacing w:val="-12"/>
        </w:rPr>
        <w:t xml:space="preserve"> </w:t>
      </w:r>
      <w:r>
        <w:rPr>
          <w:spacing w:val="-2"/>
        </w:rPr>
        <w:t>žlezda</w:t>
      </w:r>
    </w:p>
    <w:p w14:paraId="5747F87A" w14:textId="77777777" w:rsidR="00712CF5" w:rsidRDefault="00787E6B">
      <w:pPr>
        <w:pStyle w:val="ListParagraph"/>
        <w:numPr>
          <w:ilvl w:val="0"/>
          <w:numId w:val="2"/>
        </w:numPr>
        <w:tabs>
          <w:tab w:val="left" w:pos="422"/>
        </w:tabs>
        <w:spacing w:before="2"/>
        <w:ind w:right="1157" w:firstLine="0"/>
        <w:jc w:val="both"/>
      </w:pPr>
      <w:r>
        <w:t>primarnim HPT-om, kojima je indikovana paratireoidektomija na osnovu koncentracije kalcijuma u serumu (što je definisano relevantnim terapijskim smernicama), ali kojima paratireoidektomija nije klinički odgovarajuća ili je kontraindikovana.</w:t>
      </w:r>
    </w:p>
    <w:p w14:paraId="5747F87B" w14:textId="77777777" w:rsidR="00712CF5" w:rsidRDefault="00712CF5">
      <w:pPr>
        <w:pStyle w:val="BodyText"/>
        <w:spacing w:before="5"/>
        <w:ind w:left="0"/>
      </w:pPr>
    </w:p>
    <w:p w14:paraId="5747F87C" w14:textId="77777777" w:rsidR="00712CF5" w:rsidRDefault="00787E6B">
      <w:pPr>
        <w:pStyle w:val="Heading2"/>
        <w:numPr>
          <w:ilvl w:val="1"/>
          <w:numId w:val="3"/>
        </w:numPr>
        <w:tabs>
          <w:tab w:val="left" w:pos="522"/>
        </w:tabs>
        <w:ind w:left="522" w:hanging="382"/>
        <w:jc w:val="both"/>
      </w:pPr>
      <w:r>
        <w:t>Doziranje</w:t>
      </w:r>
      <w:r>
        <w:rPr>
          <w:spacing w:val="-5"/>
        </w:rPr>
        <w:t xml:space="preserve"> </w:t>
      </w:r>
      <w:r>
        <w:t>i</w:t>
      </w:r>
      <w:r>
        <w:rPr>
          <w:spacing w:val="-5"/>
        </w:rPr>
        <w:t xml:space="preserve"> </w:t>
      </w:r>
      <w:r>
        <w:t>način</w:t>
      </w:r>
      <w:r>
        <w:rPr>
          <w:spacing w:val="-5"/>
        </w:rPr>
        <w:t xml:space="preserve"> </w:t>
      </w:r>
      <w:r>
        <w:rPr>
          <w:spacing w:val="-2"/>
        </w:rPr>
        <w:t>primene</w:t>
      </w:r>
    </w:p>
    <w:p w14:paraId="5747F87D" w14:textId="77777777" w:rsidR="00712CF5" w:rsidRDefault="00787E6B">
      <w:pPr>
        <w:pStyle w:val="BodyText"/>
        <w:spacing w:before="246"/>
      </w:pPr>
      <w:r>
        <w:rPr>
          <w:spacing w:val="-2"/>
          <w:u w:val="single"/>
        </w:rPr>
        <w:t>Doziranje</w:t>
      </w:r>
    </w:p>
    <w:p w14:paraId="5747F87E" w14:textId="77777777" w:rsidR="00712CF5" w:rsidRDefault="00787E6B">
      <w:pPr>
        <w:spacing w:before="2"/>
        <w:ind w:left="140"/>
        <w:rPr>
          <w:i/>
        </w:rPr>
      </w:pPr>
      <w:r>
        <w:rPr>
          <w:i/>
          <w:u w:val="single"/>
        </w:rPr>
        <w:t>Sekundarni</w:t>
      </w:r>
      <w:r>
        <w:rPr>
          <w:i/>
          <w:spacing w:val="-10"/>
          <w:u w:val="single"/>
        </w:rPr>
        <w:t xml:space="preserve"> </w:t>
      </w:r>
      <w:r>
        <w:rPr>
          <w:i/>
          <w:spacing w:val="-2"/>
          <w:u w:val="single"/>
        </w:rPr>
        <w:t>hiperparatireoidizam</w:t>
      </w:r>
    </w:p>
    <w:p w14:paraId="5747F87F" w14:textId="77777777" w:rsidR="00712CF5" w:rsidRDefault="00712CF5">
      <w:pPr>
        <w:rPr>
          <w:i/>
        </w:rPr>
        <w:sectPr w:rsidR="00712CF5">
          <w:footerReference w:type="default" r:id="rId7"/>
          <w:type w:val="continuous"/>
          <w:pgSz w:w="11910" w:h="16840"/>
          <w:pgMar w:top="1060" w:right="992" w:bottom="1500" w:left="992" w:header="0" w:footer="1311" w:gutter="0"/>
          <w:pgNumType w:start="1"/>
          <w:cols w:space="720"/>
        </w:sectPr>
      </w:pPr>
    </w:p>
    <w:p w14:paraId="5747F880" w14:textId="77777777" w:rsidR="00712CF5" w:rsidRDefault="00787E6B">
      <w:pPr>
        <w:spacing w:before="69"/>
        <w:ind w:left="140"/>
        <w:jc w:val="both"/>
        <w:rPr>
          <w:i/>
        </w:rPr>
      </w:pPr>
      <w:r>
        <w:rPr>
          <w:i/>
        </w:rPr>
        <w:lastRenderedPageBreak/>
        <w:t>Odrasli</w:t>
      </w:r>
      <w:r>
        <w:rPr>
          <w:i/>
          <w:spacing w:val="-8"/>
        </w:rPr>
        <w:t xml:space="preserve"> </w:t>
      </w:r>
      <w:r>
        <w:rPr>
          <w:i/>
        </w:rPr>
        <w:t>i</w:t>
      </w:r>
      <w:r>
        <w:rPr>
          <w:i/>
          <w:spacing w:val="-5"/>
        </w:rPr>
        <w:t xml:space="preserve"> </w:t>
      </w:r>
      <w:r>
        <w:rPr>
          <w:i/>
        </w:rPr>
        <w:t>osobe</w:t>
      </w:r>
      <w:r>
        <w:rPr>
          <w:i/>
          <w:spacing w:val="-5"/>
        </w:rPr>
        <w:t xml:space="preserve"> </w:t>
      </w:r>
      <w:r>
        <w:rPr>
          <w:i/>
        </w:rPr>
        <w:t>starijeg</w:t>
      </w:r>
      <w:r>
        <w:rPr>
          <w:i/>
          <w:spacing w:val="-6"/>
        </w:rPr>
        <w:t xml:space="preserve"> </w:t>
      </w:r>
      <w:r>
        <w:rPr>
          <w:i/>
        </w:rPr>
        <w:t>životnog</w:t>
      </w:r>
      <w:r>
        <w:rPr>
          <w:i/>
          <w:spacing w:val="-5"/>
        </w:rPr>
        <w:t xml:space="preserve"> </w:t>
      </w:r>
      <w:r>
        <w:rPr>
          <w:i/>
        </w:rPr>
        <w:t>doba</w:t>
      </w:r>
      <w:r>
        <w:rPr>
          <w:i/>
          <w:spacing w:val="-5"/>
        </w:rPr>
        <w:t xml:space="preserve"> </w:t>
      </w:r>
      <w:r>
        <w:rPr>
          <w:i/>
        </w:rPr>
        <w:t>(&gt;65</w:t>
      </w:r>
      <w:r>
        <w:rPr>
          <w:i/>
          <w:spacing w:val="-5"/>
        </w:rPr>
        <w:t xml:space="preserve"> </w:t>
      </w:r>
      <w:r>
        <w:rPr>
          <w:i/>
          <w:spacing w:val="-2"/>
        </w:rPr>
        <w:t>godina)</w:t>
      </w:r>
    </w:p>
    <w:p w14:paraId="5747F881" w14:textId="77777777" w:rsidR="00712CF5" w:rsidRDefault="00787E6B">
      <w:pPr>
        <w:pStyle w:val="BodyText"/>
        <w:spacing w:before="251"/>
        <w:ind w:right="1157"/>
        <w:jc w:val="both"/>
      </w:pPr>
      <w:r>
        <w:t>Preporučena početna doza za odrasle je 30 mg jednom dnevno. Doziranje leka Cineset treba titrirati na svake 2 do 4 nedelje</w:t>
      </w:r>
      <w:r>
        <w:rPr>
          <w:spacing w:val="-1"/>
        </w:rPr>
        <w:t xml:space="preserve"> </w:t>
      </w:r>
      <w:r>
        <w:t>do maksimalne doze od 180 mg</w:t>
      </w:r>
      <w:r>
        <w:rPr>
          <w:spacing w:val="-1"/>
        </w:rPr>
        <w:t xml:space="preserve"> </w:t>
      </w:r>
      <w:r>
        <w:t>jednom dnevno da bi se dostigla ciljna koncentracija paratireoidnog hormona (PTH) kod pacijenata na dijalizi između 150-300 pikograma /mL (15,9-31,8 piktomola/L) u testu merenja intaktnog paratireoidnog hormona (iPTH).</w:t>
      </w:r>
      <w:r>
        <w:rPr>
          <w:spacing w:val="-1"/>
        </w:rPr>
        <w:t xml:space="preserve"> </w:t>
      </w:r>
      <w:r>
        <w:t>Koncentracije</w:t>
      </w:r>
      <w:r>
        <w:rPr>
          <w:spacing w:val="-1"/>
        </w:rPr>
        <w:t xml:space="preserve"> </w:t>
      </w:r>
      <w:r>
        <w:t>PTH</w:t>
      </w:r>
      <w:r>
        <w:rPr>
          <w:spacing w:val="-1"/>
        </w:rPr>
        <w:t xml:space="preserve"> </w:t>
      </w:r>
      <w:r>
        <w:t>se</w:t>
      </w:r>
      <w:r>
        <w:rPr>
          <w:spacing w:val="-1"/>
        </w:rPr>
        <w:t xml:space="preserve"> </w:t>
      </w:r>
      <w:r>
        <w:t>moraju meriti</w:t>
      </w:r>
      <w:r>
        <w:rPr>
          <w:spacing w:val="-2"/>
        </w:rPr>
        <w:t xml:space="preserve"> </w:t>
      </w:r>
      <w:r>
        <w:t>najmanje 12 sati nakon</w:t>
      </w:r>
      <w:r>
        <w:rPr>
          <w:spacing w:val="-2"/>
        </w:rPr>
        <w:t xml:space="preserve"> </w:t>
      </w:r>
      <w:r>
        <w:t>uzimanja doze leka Cineset. Potrebno je pridržavati se važećih terapijskih smernica.</w:t>
      </w:r>
    </w:p>
    <w:p w14:paraId="5747F882" w14:textId="77777777" w:rsidR="00712CF5" w:rsidRDefault="00712CF5">
      <w:pPr>
        <w:pStyle w:val="BodyText"/>
        <w:ind w:left="0"/>
      </w:pPr>
    </w:p>
    <w:p w14:paraId="5747F883" w14:textId="77777777" w:rsidR="00712CF5" w:rsidRDefault="00787E6B">
      <w:pPr>
        <w:pStyle w:val="BodyText"/>
        <w:ind w:right="1157"/>
        <w:jc w:val="both"/>
      </w:pPr>
      <w:r>
        <w:t>Koncentracije PTH treba kontrolisati 1 do 4 nedelje po započinjanju terapije ili prilagođavanju doze leka Cineset. Tokom terapije održavanja treba kontrolisati koncentracije PTH u intervalima od približno 1-3 meseca. Za procenu koncentracije PTH mogu se koristiti vrednosti intaktnog PTH (iPTH) ili biološki intaktnog paratireoidnog hormona (biPTH). Terapijska primena leka Cineset ne menja odnos između iPTH i biPTH.</w:t>
      </w:r>
    </w:p>
    <w:p w14:paraId="5747F884" w14:textId="77777777" w:rsidR="00712CF5" w:rsidRDefault="00712CF5">
      <w:pPr>
        <w:pStyle w:val="BodyText"/>
        <w:spacing w:before="4"/>
        <w:ind w:left="0"/>
      </w:pPr>
    </w:p>
    <w:p w14:paraId="5747F885" w14:textId="77777777" w:rsidR="00712CF5" w:rsidRDefault="00787E6B">
      <w:pPr>
        <w:spacing w:line="251" w:lineRule="exact"/>
        <w:ind w:left="140"/>
        <w:jc w:val="both"/>
        <w:rPr>
          <w:i/>
        </w:rPr>
      </w:pPr>
      <w:r>
        <w:rPr>
          <w:i/>
        </w:rPr>
        <w:t>Prilagođavanje</w:t>
      </w:r>
      <w:r>
        <w:rPr>
          <w:i/>
          <w:spacing w:val="-7"/>
        </w:rPr>
        <w:t xml:space="preserve"> </w:t>
      </w:r>
      <w:r>
        <w:rPr>
          <w:i/>
        </w:rPr>
        <w:t>doze</w:t>
      </w:r>
      <w:r>
        <w:rPr>
          <w:i/>
          <w:spacing w:val="-7"/>
        </w:rPr>
        <w:t xml:space="preserve"> </w:t>
      </w:r>
      <w:r>
        <w:rPr>
          <w:i/>
        </w:rPr>
        <w:t>na</w:t>
      </w:r>
      <w:r>
        <w:rPr>
          <w:i/>
          <w:spacing w:val="-5"/>
        </w:rPr>
        <w:t xml:space="preserve"> </w:t>
      </w:r>
      <w:r>
        <w:rPr>
          <w:i/>
        </w:rPr>
        <w:t>osnovu</w:t>
      </w:r>
      <w:r>
        <w:rPr>
          <w:i/>
          <w:spacing w:val="-5"/>
        </w:rPr>
        <w:t xml:space="preserve"> </w:t>
      </w:r>
      <w:r>
        <w:rPr>
          <w:i/>
        </w:rPr>
        <w:t>koncentracije</w:t>
      </w:r>
      <w:r>
        <w:rPr>
          <w:i/>
          <w:spacing w:val="-5"/>
        </w:rPr>
        <w:t xml:space="preserve"> </w:t>
      </w:r>
      <w:r>
        <w:rPr>
          <w:i/>
        </w:rPr>
        <w:t>kalcijuma</w:t>
      </w:r>
      <w:r>
        <w:rPr>
          <w:i/>
          <w:spacing w:val="-5"/>
        </w:rPr>
        <w:t xml:space="preserve"> </w:t>
      </w:r>
      <w:r>
        <w:rPr>
          <w:i/>
        </w:rPr>
        <w:t>u</w:t>
      </w:r>
      <w:r>
        <w:rPr>
          <w:i/>
          <w:spacing w:val="-4"/>
        </w:rPr>
        <w:t xml:space="preserve"> </w:t>
      </w:r>
      <w:r>
        <w:rPr>
          <w:i/>
          <w:spacing w:val="-2"/>
        </w:rPr>
        <w:t>serumu</w:t>
      </w:r>
    </w:p>
    <w:p w14:paraId="5747F886" w14:textId="77777777" w:rsidR="00712CF5" w:rsidRDefault="00787E6B">
      <w:pPr>
        <w:pStyle w:val="BodyText"/>
        <w:ind w:right="1157"/>
        <w:jc w:val="both"/>
      </w:pPr>
      <w:r>
        <w:t>Korigovanu koncentraciju kalcijuma u serumu treba meriti i kontrolisati da ona bude u nivou ili iznad donje granice referentnih vrednosti pre primene prve doze leka Cineset (videti odeljak</w:t>
      </w:r>
      <w:r>
        <w:rPr>
          <w:spacing w:val="-3"/>
        </w:rPr>
        <w:t xml:space="preserve"> </w:t>
      </w:r>
      <w:r>
        <w:t>4.4). Granice referentnih vrednosti kalcijuma mogu se razlikovati zavisno od metoda koje koristi lokalna laboratorija.</w:t>
      </w:r>
    </w:p>
    <w:p w14:paraId="5747F887" w14:textId="77777777" w:rsidR="00712CF5" w:rsidRDefault="00712CF5">
      <w:pPr>
        <w:pStyle w:val="BodyText"/>
        <w:ind w:left="0"/>
      </w:pPr>
    </w:p>
    <w:p w14:paraId="5747F888" w14:textId="77777777" w:rsidR="00712CF5" w:rsidRDefault="00787E6B">
      <w:pPr>
        <w:pStyle w:val="BodyText"/>
        <w:ind w:right="1157"/>
        <w:jc w:val="both"/>
      </w:pPr>
      <w:r>
        <w:t>Tokom titriranja doze, koncentraciju kalcijuma u serumu treba često kontrolisati, unutar nedelju dana od započinjanja terapije ili prilagođavanja doze leka Cineset. Kada je postignuta doza održavanja, koncentraciju kalcijuma u serumu potrebno je kontrolisati mesečno.</w:t>
      </w:r>
    </w:p>
    <w:p w14:paraId="5747F889" w14:textId="77777777" w:rsidR="00712CF5" w:rsidRDefault="00787E6B">
      <w:pPr>
        <w:pStyle w:val="BodyText"/>
        <w:ind w:right="1157"/>
        <w:jc w:val="both"/>
      </w:pPr>
      <w:r>
        <w:t>U slučaju da korigovane vrednosti koncentracije kalcijuma</w:t>
      </w:r>
      <w:r>
        <w:rPr>
          <w:spacing w:val="-1"/>
        </w:rPr>
        <w:t xml:space="preserve"> </w:t>
      </w:r>
      <w:r>
        <w:t>u serumu padnu ispod 8,4 mg/dL (2,1 mmol/L) i/ili nastupe simptomi hipokalcemije, preporučuje se sledeće lečenje:</w:t>
      </w:r>
    </w:p>
    <w:p w14:paraId="5747F88A" w14:textId="77777777" w:rsidR="00712CF5" w:rsidRDefault="00712CF5">
      <w:pPr>
        <w:pStyle w:val="BodyText"/>
        <w:spacing w:before="3"/>
        <w:ind w:left="0"/>
        <w:rPr>
          <w:sz w:val="17"/>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0"/>
        <w:gridCol w:w="4397"/>
      </w:tblGrid>
      <w:tr w:rsidR="00712CF5" w14:paraId="5747F88E" w14:textId="77777777">
        <w:trPr>
          <w:trHeight w:val="508"/>
        </w:trPr>
        <w:tc>
          <w:tcPr>
            <w:tcW w:w="4930" w:type="dxa"/>
          </w:tcPr>
          <w:p w14:paraId="5747F88B" w14:textId="77777777" w:rsidR="00712CF5" w:rsidRDefault="00787E6B">
            <w:pPr>
              <w:pStyle w:val="TableParagraph"/>
              <w:spacing w:line="249" w:lineRule="exact"/>
              <w:ind w:left="110"/>
              <w:rPr>
                <w:b/>
              </w:rPr>
            </w:pPr>
            <w:r>
              <w:rPr>
                <w:b/>
              </w:rPr>
              <w:t>Korigovana</w:t>
            </w:r>
            <w:r>
              <w:rPr>
                <w:b/>
                <w:spacing w:val="-3"/>
              </w:rPr>
              <w:t xml:space="preserve"> </w:t>
            </w:r>
            <w:r>
              <w:rPr>
                <w:b/>
              </w:rPr>
              <w:t>koncentracija</w:t>
            </w:r>
            <w:r>
              <w:rPr>
                <w:b/>
                <w:spacing w:val="51"/>
              </w:rPr>
              <w:t xml:space="preserve"> </w:t>
            </w:r>
            <w:r>
              <w:rPr>
                <w:b/>
              </w:rPr>
              <w:t>kalcijuma u</w:t>
            </w:r>
            <w:r>
              <w:rPr>
                <w:b/>
                <w:spacing w:val="-10"/>
              </w:rPr>
              <w:t xml:space="preserve"> </w:t>
            </w:r>
            <w:r>
              <w:rPr>
                <w:b/>
              </w:rPr>
              <w:t>serumu</w:t>
            </w:r>
            <w:r>
              <w:rPr>
                <w:b/>
                <w:spacing w:val="-2"/>
              </w:rPr>
              <w:t xml:space="preserve"> </w:t>
            </w:r>
            <w:r>
              <w:rPr>
                <w:b/>
                <w:spacing w:val="-5"/>
              </w:rPr>
              <w:t>ili</w:t>
            </w:r>
          </w:p>
          <w:p w14:paraId="5747F88C" w14:textId="77777777" w:rsidR="00712CF5" w:rsidRDefault="00787E6B">
            <w:pPr>
              <w:pStyle w:val="TableParagraph"/>
              <w:spacing w:before="1" w:line="238" w:lineRule="exact"/>
              <w:ind w:left="110"/>
              <w:rPr>
                <w:b/>
              </w:rPr>
            </w:pPr>
            <w:r>
              <w:rPr>
                <w:b/>
              </w:rPr>
              <w:t>klinički</w:t>
            </w:r>
            <w:r>
              <w:rPr>
                <w:b/>
                <w:spacing w:val="-8"/>
              </w:rPr>
              <w:t xml:space="preserve"> </w:t>
            </w:r>
            <w:r>
              <w:rPr>
                <w:b/>
              </w:rPr>
              <w:t>simptomi</w:t>
            </w:r>
            <w:r>
              <w:rPr>
                <w:b/>
                <w:spacing w:val="-8"/>
              </w:rPr>
              <w:t xml:space="preserve"> </w:t>
            </w:r>
            <w:r>
              <w:rPr>
                <w:b/>
                <w:spacing w:val="-2"/>
              </w:rPr>
              <w:t>hipokalcemije</w:t>
            </w:r>
          </w:p>
        </w:tc>
        <w:tc>
          <w:tcPr>
            <w:tcW w:w="4397" w:type="dxa"/>
          </w:tcPr>
          <w:p w14:paraId="5747F88D" w14:textId="77777777" w:rsidR="00712CF5" w:rsidRDefault="00787E6B">
            <w:pPr>
              <w:pStyle w:val="TableParagraph"/>
              <w:spacing w:line="249" w:lineRule="exact"/>
              <w:ind w:left="5"/>
              <w:jc w:val="center"/>
              <w:rPr>
                <w:b/>
              </w:rPr>
            </w:pPr>
            <w:r>
              <w:rPr>
                <w:b/>
                <w:spacing w:val="-2"/>
              </w:rPr>
              <w:t>Preporuke</w:t>
            </w:r>
          </w:p>
        </w:tc>
      </w:tr>
      <w:tr w:rsidR="00712CF5" w14:paraId="5747F892" w14:textId="77777777">
        <w:trPr>
          <w:trHeight w:val="1516"/>
        </w:trPr>
        <w:tc>
          <w:tcPr>
            <w:tcW w:w="4930" w:type="dxa"/>
          </w:tcPr>
          <w:p w14:paraId="5747F88F" w14:textId="77777777" w:rsidR="00712CF5" w:rsidRDefault="00787E6B">
            <w:pPr>
              <w:pStyle w:val="TableParagraph"/>
              <w:spacing w:line="240" w:lineRule="auto"/>
              <w:ind w:left="110" w:right="799"/>
              <w:jc w:val="both"/>
            </w:pPr>
            <w:r>
              <w:t>&lt;</w:t>
            </w:r>
            <w:r>
              <w:rPr>
                <w:spacing w:val="-3"/>
              </w:rPr>
              <w:t xml:space="preserve"> </w:t>
            </w:r>
            <w:r>
              <w:t>8,4</w:t>
            </w:r>
            <w:r>
              <w:rPr>
                <w:spacing w:val="-6"/>
              </w:rPr>
              <w:t xml:space="preserve"> </w:t>
            </w:r>
            <w:r>
              <w:t>mg/dL</w:t>
            </w:r>
            <w:r>
              <w:rPr>
                <w:spacing w:val="-3"/>
              </w:rPr>
              <w:t xml:space="preserve"> </w:t>
            </w:r>
            <w:r>
              <w:t>(2,1</w:t>
            </w:r>
            <w:r>
              <w:rPr>
                <w:spacing w:val="-6"/>
              </w:rPr>
              <w:t xml:space="preserve"> </w:t>
            </w:r>
            <w:r>
              <w:t>mmol/L)</w:t>
            </w:r>
            <w:r>
              <w:rPr>
                <w:spacing w:val="-5"/>
              </w:rPr>
              <w:t xml:space="preserve"> </w:t>
            </w:r>
            <w:r>
              <w:t>i</w:t>
            </w:r>
            <w:r>
              <w:rPr>
                <w:spacing w:val="-5"/>
              </w:rPr>
              <w:t xml:space="preserve"> </w:t>
            </w:r>
            <w:r>
              <w:t>&gt;</w:t>
            </w:r>
            <w:r>
              <w:rPr>
                <w:spacing w:val="-5"/>
              </w:rPr>
              <w:t xml:space="preserve"> </w:t>
            </w:r>
            <w:r>
              <w:t>7,5</w:t>
            </w:r>
            <w:r>
              <w:rPr>
                <w:spacing w:val="-5"/>
              </w:rPr>
              <w:t xml:space="preserve"> </w:t>
            </w:r>
            <w:r>
              <w:t>mg/dL</w:t>
            </w:r>
            <w:r>
              <w:rPr>
                <w:spacing w:val="-3"/>
              </w:rPr>
              <w:t xml:space="preserve"> </w:t>
            </w:r>
            <w:r>
              <w:t>(1,9 mmol/L),</w:t>
            </w:r>
            <w:r>
              <w:rPr>
                <w:spacing w:val="-3"/>
              </w:rPr>
              <w:t xml:space="preserve"> </w:t>
            </w:r>
            <w:r>
              <w:t>ili</w:t>
            </w:r>
            <w:r>
              <w:rPr>
                <w:spacing w:val="-3"/>
              </w:rPr>
              <w:t xml:space="preserve"> </w:t>
            </w:r>
            <w:r>
              <w:t>u</w:t>
            </w:r>
            <w:r>
              <w:rPr>
                <w:spacing w:val="-3"/>
              </w:rPr>
              <w:t xml:space="preserve"> </w:t>
            </w:r>
            <w:r>
              <w:t>prisutnosti</w:t>
            </w:r>
            <w:r>
              <w:rPr>
                <w:spacing w:val="-3"/>
              </w:rPr>
              <w:t xml:space="preserve"> </w:t>
            </w:r>
            <w:r>
              <w:t>kliničkih</w:t>
            </w:r>
            <w:r>
              <w:rPr>
                <w:spacing w:val="-3"/>
              </w:rPr>
              <w:t xml:space="preserve"> </w:t>
            </w:r>
            <w:r>
              <w:t xml:space="preserve">simptoma </w:t>
            </w:r>
            <w:r>
              <w:rPr>
                <w:spacing w:val="-2"/>
              </w:rPr>
              <w:t>hipokalcemije</w:t>
            </w:r>
          </w:p>
        </w:tc>
        <w:tc>
          <w:tcPr>
            <w:tcW w:w="4397" w:type="dxa"/>
          </w:tcPr>
          <w:p w14:paraId="5747F890" w14:textId="77777777" w:rsidR="00712CF5" w:rsidRDefault="00787E6B">
            <w:pPr>
              <w:pStyle w:val="TableParagraph"/>
              <w:spacing w:line="240" w:lineRule="auto"/>
              <w:ind w:left="109" w:right="201"/>
            </w:pPr>
            <w:r>
              <w:t>Lekovi za vezivanje fosfata koji sadrže kalcijum, steroli vitamina D i/ili prilagođavanje koncentracije kalcijuma u tečnosti</w:t>
            </w:r>
            <w:r>
              <w:rPr>
                <w:spacing w:val="-7"/>
              </w:rPr>
              <w:t xml:space="preserve"> </w:t>
            </w:r>
            <w:r>
              <w:t>za</w:t>
            </w:r>
            <w:r>
              <w:rPr>
                <w:spacing w:val="-2"/>
              </w:rPr>
              <w:t xml:space="preserve"> </w:t>
            </w:r>
            <w:r>
              <w:t>dijalizu</w:t>
            </w:r>
            <w:r>
              <w:rPr>
                <w:spacing w:val="1"/>
              </w:rPr>
              <w:t xml:space="preserve"> </w:t>
            </w:r>
            <w:r>
              <w:t>mogu</w:t>
            </w:r>
            <w:r>
              <w:rPr>
                <w:spacing w:val="-7"/>
              </w:rPr>
              <w:t xml:space="preserve"> </w:t>
            </w:r>
            <w:r>
              <w:t>biti</w:t>
            </w:r>
            <w:r>
              <w:rPr>
                <w:spacing w:val="-8"/>
              </w:rPr>
              <w:t xml:space="preserve"> </w:t>
            </w:r>
            <w:r>
              <w:t>korišćeni</w:t>
            </w:r>
            <w:r>
              <w:rPr>
                <w:spacing w:val="-6"/>
              </w:rPr>
              <w:t xml:space="preserve"> </w:t>
            </w:r>
            <w:r>
              <w:rPr>
                <w:spacing w:val="-5"/>
              </w:rPr>
              <w:t>za</w:t>
            </w:r>
          </w:p>
          <w:p w14:paraId="5747F891" w14:textId="77777777" w:rsidR="00712CF5" w:rsidRDefault="00787E6B">
            <w:pPr>
              <w:pStyle w:val="TableParagraph"/>
              <w:spacing w:line="250" w:lineRule="exact"/>
              <w:ind w:left="109" w:right="201"/>
            </w:pPr>
            <w:r>
              <w:t>povećanje</w:t>
            </w:r>
            <w:r>
              <w:rPr>
                <w:spacing w:val="-8"/>
              </w:rPr>
              <w:t xml:space="preserve"> </w:t>
            </w:r>
            <w:r>
              <w:t>koncentracije</w:t>
            </w:r>
            <w:r>
              <w:rPr>
                <w:spacing w:val="37"/>
              </w:rPr>
              <w:t xml:space="preserve"> </w:t>
            </w:r>
            <w:r>
              <w:t>kalcijuma</w:t>
            </w:r>
            <w:r>
              <w:rPr>
                <w:spacing w:val="-10"/>
              </w:rPr>
              <w:t xml:space="preserve"> </w:t>
            </w:r>
            <w:r>
              <w:t>u</w:t>
            </w:r>
            <w:r>
              <w:rPr>
                <w:spacing w:val="-9"/>
              </w:rPr>
              <w:t xml:space="preserve"> </w:t>
            </w:r>
            <w:r>
              <w:t>serumu, u skladu sa kliničkom procenom.</w:t>
            </w:r>
          </w:p>
        </w:tc>
      </w:tr>
      <w:tr w:rsidR="00712CF5" w14:paraId="5747F897" w14:textId="77777777">
        <w:trPr>
          <w:trHeight w:val="1266"/>
        </w:trPr>
        <w:tc>
          <w:tcPr>
            <w:tcW w:w="4930" w:type="dxa"/>
          </w:tcPr>
          <w:p w14:paraId="5747F893" w14:textId="77777777" w:rsidR="00712CF5" w:rsidRDefault="00787E6B">
            <w:pPr>
              <w:pStyle w:val="TableParagraph"/>
              <w:spacing w:line="242" w:lineRule="auto"/>
              <w:ind w:left="110" w:right="93"/>
            </w:pPr>
            <w:r>
              <w:t>&lt;</w:t>
            </w:r>
            <w:r>
              <w:rPr>
                <w:spacing w:val="-5"/>
              </w:rPr>
              <w:t xml:space="preserve"> </w:t>
            </w:r>
            <w:r>
              <w:t>8,4</w:t>
            </w:r>
            <w:r>
              <w:rPr>
                <w:spacing w:val="-5"/>
              </w:rPr>
              <w:t xml:space="preserve"> </w:t>
            </w:r>
            <w:r>
              <w:t>mg/dL</w:t>
            </w:r>
            <w:r>
              <w:rPr>
                <w:spacing w:val="-3"/>
              </w:rPr>
              <w:t xml:space="preserve"> </w:t>
            </w:r>
            <w:r>
              <w:t>(2,1</w:t>
            </w:r>
            <w:r>
              <w:rPr>
                <w:spacing w:val="-6"/>
              </w:rPr>
              <w:t xml:space="preserve"> </w:t>
            </w:r>
            <w:r>
              <w:t>mmol/L)</w:t>
            </w:r>
            <w:r>
              <w:rPr>
                <w:spacing w:val="-4"/>
              </w:rPr>
              <w:t xml:space="preserve"> </w:t>
            </w:r>
            <w:r>
              <w:t>i</w:t>
            </w:r>
            <w:r>
              <w:rPr>
                <w:spacing w:val="-4"/>
              </w:rPr>
              <w:t xml:space="preserve"> </w:t>
            </w:r>
            <w:r>
              <w:t>&gt;</w:t>
            </w:r>
            <w:r>
              <w:rPr>
                <w:spacing w:val="-4"/>
              </w:rPr>
              <w:t xml:space="preserve"> </w:t>
            </w:r>
            <w:r>
              <w:t>7,5</w:t>
            </w:r>
            <w:r>
              <w:rPr>
                <w:spacing w:val="-4"/>
              </w:rPr>
              <w:t xml:space="preserve"> </w:t>
            </w:r>
            <w:r>
              <w:t>mg/dL</w:t>
            </w:r>
            <w:r>
              <w:rPr>
                <w:spacing w:val="-3"/>
              </w:rPr>
              <w:t xml:space="preserve"> </w:t>
            </w:r>
            <w:r>
              <w:t xml:space="preserve">(1,9 </w:t>
            </w:r>
            <w:r>
              <w:rPr>
                <w:spacing w:val="-2"/>
              </w:rPr>
              <w:t>mmol/L)</w:t>
            </w:r>
          </w:p>
          <w:p w14:paraId="5747F894" w14:textId="77777777" w:rsidR="00712CF5" w:rsidRDefault="00787E6B">
            <w:pPr>
              <w:pStyle w:val="TableParagraph"/>
              <w:spacing w:line="237" w:lineRule="auto"/>
              <w:ind w:left="110"/>
            </w:pPr>
            <w:r>
              <w:t>ili perzistirajući simptomi hipokalcemije uprkos pokušajima</w:t>
            </w:r>
            <w:r>
              <w:rPr>
                <w:spacing w:val="-8"/>
              </w:rPr>
              <w:t xml:space="preserve"> </w:t>
            </w:r>
            <w:r>
              <w:t>da</w:t>
            </w:r>
            <w:r>
              <w:rPr>
                <w:spacing w:val="-8"/>
              </w:rPr>
              <w:t xml:space="preserve"> </w:t>
            </w:r>
            <w:r>
              <w:t>se</w:t>
            </w:r>
            <w:r>
              <w:rPr>
                <w:spacing w:val="-8"/>
              </w:rPr>
              <w:t xml:space="preserve"> </w:t>
            </w:r>
            <w:r>
              <w:t>poveća</w:t>
            </w:r>
            <w:r>
              <w:rPr>
                <w:spacing w:val="-3"/>
              </w:rPr>
              <w:t xml:space="preserve"> </w:t>
            </w:r>
            <w:r>
              <w:t>koncentracija</w:t>
            </w:r>
            <w:r>
              <w:rPr>
                <w:spacing w:val="-7"/>
              </w:rPr>
              <w:t xml:space="preserve"> </w:t>
            </w:r>
            <w:r>
              <w:t>kalcijum</w:t>
            </w:r>
            <w:r>
              <w:rPr>
                <w:spacing w:val="-13"/>
              </w:rPr>
              <w:t xml:space="preserve"> </w:t>
            </w:r>
            <w:r>
              <w:t>u</w:t>
            </w:r>
          </w:p>
          <w:p w14:paraId="5747F895" w14:textId="77777777" w:rsidR="00712CF5" w:rsidRDefault="00787E6B">
            <w:pPr>
              <w:pStyle w:val="TableParagraph"/>
              <w:spacing w:line="243" w:lineRule="exact"/>
              <w:ind w:left="110"/>
            </w:pPr>
            <w:r>
              <w:rPr>
                <w:spacing w:val="-2"/>
              </w:rPr>
              <w:t>serumu.</w:t>
            </w:r>
          </w:p>
        </w:tc>
        <w:tc>
          <w:tcPr>
            <w:tcW w:w="4397" w:type="dxa"/>
          </w:tcPr>
          <w:p w14:paraId="5747F896" w14:textId="77777777" w:rsidR="00712CF5" w:rsidRDefault="00787E6B">
            <w:pPr>
              <w:pStyle w:val="TableParagraph"/>
              <w:spacing w:line="242" w:lineRule="auto"/>
              <w:ind w:left="109" w:right="201"/>
            </w:pPr>
            <w:r>
              <w:t>Smanjenje</w:t>
            </w:r>
            <w:r>
              <w:rPr>
                <w:spacing w:val="-4"/>
              </w:rPr>
              <w:t xml:space="preserve"> </w:t>
            </w:r>
            <w:r>
              <w:t>doze</w:t>
            </w:r>
            <w:r>
              <w:rPr>
                <w:spacing w:val="-10"/>
              </w:rPr>
              <w:t xml:space="preserve"> </w:t>
            </w:r>
            <w:r>
              <w:t>ili</w:t>
            </w:r>
            <w:r>
              <w:rPr>
                <w:spacing w:val="-10"/>
              </w:rPr>
              <w:t xml:space="preserve"> </w:t>
            </w:r>
            <w:r>
              <w:t>prekid</w:t>
            </w:r>
            <w:r>
              <w:rPr>
                <w:spacing w:val="-10"/>
              </w:rPr>
              <w:t xml:space="preserve"> </w:t>
            </w:r>
            <w:r>
              <w:t>terapije</w:t>
            </w:r>
            <w:r>
              <w:rPr>
                <w:spacing w:val="-10"/>
              </w:rPr>
              <w:t xml:space="preserve"> </w:t>
            </w:r>
            <w:r>
              <w:t xml:space="preserve">lekom </w:t>
            </w:r>
            <w:r>
              <w:rPr>
                <w:spacing w:val="-2"/>
              </w:rPr>
              <w:t>Cineset.</w:t>
            </w:r>
          </w:p>
        </w:tc>
      </w:tr>
      <w:tr w:rsidR="00712CF5" w14:paraId="5747F89B" w14:textId="77777777">
        <w:trPr>
          <w:trHeight w:val="1516"/>
        </w:trPr>
        <w:tc>
          <w:tcPr>
            <w:tcW w:w="4930" w:type="dxa"/>
          </w:tcPr>
          <w:p w14:paraId="5747F898" w14:textId="77777777" w:rsidR="00712CF5" w:rsidRDefault="00787E6B">
            <w:pPr>
              <w:pStyle w:val="TableParagraph"/>
              <w:spacing w:line="237" w:lineRule="auto"/>
              <w:ind w:left="110"/>
            </w:pPr>
            <w:r>
              <w:t>≤</w:t>
            </w:r>
            <w:r>
              <w:rPr>
                <w:spacing w:val="-1"/>
              </w:rPr>
              <w:t xml:space="preserve"> </w:t>
            </w:r>
            <w:r>
              <w:t>7,5</w:t>
            </w:r>
            <w:r>
              <w:rPr>
                <w:spacing w:val="-1"/>
              </w:rPr>
              <w:t xml:space="preserve"> </w:t>
            </w:r>
            <w:r>
              <w:t>mg/dL (1,9 mmol/L) ili</w:t>
            </w:r>
            <w:r>
              <w:rPr>
                <w:spacing w:val="-3"/>
              </w:rPr>
              <w:t xml:space="preserve"> </w:t>
            </w:r>
            <w:r>
              <w:t>perzistirajući</w:t>
            </w:r>
            <w:r>
              <w:rPr>
                <w:spacing w:val="-4"/>
              </w:rPr>
              <w:t xml:space="preserve"> </w:t>
            </w:r>
            <w:r>
              <w:t>simptomi hipokalcemije i vitamin D se ne može povećati.</w:t>
            </w:r>
          </w:p>
        </w:tc>
        <w:tc>
          <w:tcPr>
            <w:tcW w:w="4397" w:type="dxa"/>
          </w:tcPr>
          <w:p w14:paraId="5747F899" w14:textId="77777777" w:rsidR="00712CF5" w:rsidRDefault="00787E6B">
            <w:pPr>
              <w:pStyle w:val="TableParagraph"/>
              <w:spacing w:line="240" w:lineRule="auto"/>
              <w:ind w:left="109" w:right="201"/>
            </w:pPr>
            <w:r>
              <w:t>Privremeni</w:t>
            </w:r>
            <w:r>
              <w:rPr>
                <w:spacing w:val="-10"/>
              </w:rPr>
              <w:t xml:space="preserve"> </w:t>
            </w:r>
            <w:r>
              <w:t>prekid</w:t>
            </w:r>
            <w:r>
              <w:rPr>
                <w:spacing w:val="-9"/>
              </w:rPr>
              <w:t xml:space="preserve"> </w:t>
            </w:r>
            <w:r>
              <w:t>terapije</w:t>
            </w:r>
            <w:r>
              <w:rPr>
                <w:spacing w:val="-9"/>
              </w:rPr>
              <w:t xml:space="preserve"> </w:t>
            </w:r>
            <w:r>
              <w:t>lekom</w:t>
            </w:r>
            <w:r>
              <w:rPr>
                <w:spacing w:val="-9"/>
              </w:rPr>
              <w:t xml:space="preserve"> </w:t>
            </w:r>
            <w:r>
              <w:t>Cineset</w:t>
            </w:r>
            <w:r>
              <w:rPr>
                <w:spacing w:val="-9"/>
              </w:rPr>
              <w:t xml:space="preserve"> </w:t>
            </w:r>
            <w:r>
              <w:t>dok se ne postigne koncentracija kalcijuma u serumu od 8,0 mg/dL (2,0 mmoL/L) i/ili povuku simptomi hipokalcemije. Terapiju</w:t>
            </w:r>
          </w:p>
          <w:p w14:paraId="5747F89A" w14:textId="77777777" w:rsidR="00712CF5" w:rsidRDefault="00787E6B">
            <w:pPr>
              <w:pStyle w:val="TableParagraph"/>
              <w:spacing w:line="250" w:lineRule="exact"/>
              <w:ind w:left="109" w:right="679"/>
            </w:pPr>
            <w:r>
              <w:t>treba</w:t>
            </w:r>
            <w:r>
              <w:rPr>
                <w:spacing w:val="-12"/>
              </w:rPr>
              <w:t xml:space="preserve"> </w:t>
            </w:r>
            <w:r>
              <w:t>ponovo</w:t>
            </w:r>
            <w:r>
              <w:rPr>
                <w:spacing w:val="-10"/>
              </w:rPr>
              <w:t xml:space="preserve"> </w:t>
            </w:r>
            <w:r>
              <w:t>započeti</w:t>
            </w:r>
            <w:r>
              <w:rPr>
                <w:spacing w:val="-13"/>
              </w:rPr>
              <w:t xml:space="preserve"> </w:t>
            </w:r>
            <w:r>
              <w:t>primenom</w:t>
            </w:r>
            <w:r>
              <w:rPr>
                <w:spacing w:val="-13"/>
              </w:rPr>
              <w:t xml:space="preserve"> </w:t>
            </w:r>
            <w:r>
              <w:t>sledeće najmanje doze leka Cineset.</w:t>
            </w:r>
          </w:p>
        </w:tc>
      </w:tr>
    </w:tbl>
    <w:p w14:paraId="5747F89C" w14:textId="77777777" w:rsidR="00712CF5" w:rsidRDefault="00712CF5">
      <w:pPr>
        <w:pStyle w:val="TableParagraph"/>
        <w:spacing w:line="250" w:lineRule="exact"/>
        <w:sectPr w:rsidR="00712CF5">
          <w:pgSz w:w="11910" w:h="16840"/>
          <w:pgMar w:top="1320" w:right="992" w:bottom="1500" w:left="992" w:header="0" w:footer="1311" w:gutter="0"/>
          <w:cols w:space="720"/>
        </w:sectPr>
      </w:pPr>
    </w:p>
    <w:p w14:paraId="5747F89D" w14:textId="77777777" w:rsidR="00712CF5" w:rsidRDefault="00787E6B">
      <w:pPr>
        <w:spacing w:before="74"/>
        <w:ind w:left="140"/>
        <w:rPr>
          <w:i/>
        </w:rPr>
      </w:pPr>
      <w:r>
        <w:rPr>
          <w:i/>
        </w:rPr>
        <w:lastRenderedPageBreak/>
        <w:t>Pedijatrijska</w:t>
      </w:r>
      <w:r>
        <w:rPr>
          <w:i/>
          <w:spacing w:val="-13"/>
        </w:rPr>
        <w:t xml:space="preserve"> </w:t>
      </w:r>
      <w:r>
        <w:rPr>
          <w:i/>
          <w:spacing w:val="-2"/>
        </w:rPr>
        <w:t>populacija</w:t>
      </w:r>
    </w:p>
    <w:p w14:paraId="5747F89E" w14:textId="77777777" w:rsidR="00712CF5" w:rsidRDefault="00787E6B">
      <w:pPr>
        <w:pStyle w:val="BodyText"/>
        <w:spacing w:before="2"/>
        <w:ind w:right="1145"/>
      </w:pPr>
      <w:r>
        <w:t>Korigovana koncentracija kalcijuma u serumu treba da bude u gornjem rasponu ili iznad referentnog</w:t>
      </w:r>
      <w:r>
        <w:rPr>
          <w:spacing w:val="-4"/>
        </w:rPr>
        <w:t xml:space="preserve"> </w:t>
      </w:r>
      <w:r>
        <w:t>intervala</w:t>
      </w:r>
      <w:r>
        <w:rPr>
          <w:spacing w:val="-4"/>
        </w:rPr>
        <w:t xml:space="preserve"> </w:t>
      </w:r>
      <w:r>
        <w:t>specifičnog</w:t>
      </w:r>
      <w:r>
        <w:rPr>
          <w:spacing w:val="-4"/>
        </w:rPr>
        <w:t xml:space="preserve"> </w:t>
      </w:r>
      <w:r>
        <w:t>za</w:t>
      </w:r>
      <w:r>
        <w:rPr>
          <w:spacing w:val="-2"/>
        </w:rPr>
        <w:t xml:space="preserve"> </w:t>
      </w:r>
      <w:r>
        <w:t>uzrast</w:t>
      </w:r>
      <w:r>
        <w:rPr>
          <w:spacing w:val="-5"/>
        </w:rPr>
        <w:t xml:space="preserve"> </w:t>
      </w:r>
      <w:r>
        <w:t>pre</w:t>
      </w:r>
      <w:r>
        <w:rPr>
          <w:spacing w:val="-4"/>
        </w:rPr>
        <w:t xml:space="preserve"> </w:t>
      </w:r>
      <w:r>
        <w:t>primene</w:t>
      </w:r>
      <w:r>
        <w:rPr>
          <w:spacing w:val="-4"/>
        </w:rPr>
        <w:t xml:space="preserve"> </w:t>
      </w:r>
      <w:r>
        <w:t>prve</w:t>
      </w:r>
      <w:r>
        <w:rPr>
          <w:spacing w:val="-4"/>
        </w:rPr>
        <w:t xml:space="preserve"> </w:t>
      </w:r>
      <w:r>
        <w:t>doze</w:t>
      </w:r>
      <w:r>
        <w:rPr>
          <w:spacing w:val="-4"/>
        </w:rPr>
        <w:t xml:space="preserve"> </w:t>
      </w:r>
      <w:r>
        <w:t>sinakalceta</w:t>
      </w:r>
      <w:r>
        <w:rPr>
          <w:spacing w:val="-3"/>
        </w:rPr>
        <w:t xml:space="preserve"> </w:t>
      </w:r>
      <w:r>
        <w:t>uz</w:t>
      </w:r>
      <w:r>
        <w:rPr>
          <w:spacing w:val="-5"/>
        </w:rPr>
        <w:t xml:space="preserve"> </w:t>
      </w:r>
      <w:r>
        <w:t>stalno</w:t>
      </w:r>
      <w:r>
        <w:rPr>
          <w:spacing w:val="-5"/>
        </w:rPr>
        <w:t xml:space="preserve"> </w:t>
      </w:r>
      <w:r>
        <w:t>praćenje parametara (videti odeljak 4.4).</w:t>
      </w:r>
    </w:p>
    <w:p w14:paraId="5747F89F" w14:textId="77777777" w:rsidR="00712CF5" w:rsidRDefault="00787E6B">
      <w:pPr>
        <w:pStyle w:val="BodyText"/>
        <w:ind w:right="1145"/>
      </w:pPr>
      <w:r>
        <w:t>Granice</w:t>
      </w:r>
      <w:r>
        <w:rPr>
          <w:spacing w:val="-4"/>
        </w:rPr>
        <w:t xml:space="preserve"> </w:t>
      </w:r>
      <w:r>
        <w:t>referentnih</w:t>
      </w:r>
      <w:r>
        <w:rPr>
          <w:spacing w:val="-4"/>
        </w:rPr>
        <w:t xml:space="preserve"> </w:t>
      </w:r>
      <w:r>
        <w:t>vrednosti</w:t>
      </w:r>
      <w:r>
        <w:rPr>
          <w:spacing w:val="-4"/>
        </w:rPr>
        <w:t xml:space="preserve"> </w:t>
      </w:r>
      <w:r>
        <w:t>kalcijuma</w:t>
      </w:r>
      <w:r>
        <w:rPr>
          <w:spacing w:val="-4"/>
        </w:rPr>
        <w:t xml:space="preserve"> </w:t>
      </w:r>
      <w:r>
        <w:t>mogu</w:t>
      </w:r>
      <w:r>
        <w:rPr>
          <w:spacing w:val="-4"/>
        </w:rPr>
        <w:t xml:space="preserve"> </w:t>
      </w:r>
      <w:r>
        <w:t>se</w:t>
      </w:r>
      <w:r>
        <w:rPr>
          <w:spacing w:val="-4"/>
        </w:rPr>
        <w:t xml:space="preserve"> </w:t>
      </w:r>
      <w:r>
        <w:t>razlikovati</w:t>
      </w:r>
      <w:r>
        <w:rPr>
          <w:spacing w:val="-4"/>
        </w:rPr>
        <w:t xml:space="preserve"> </w:t>
      </w:r>
      <w:r>
        <w:t>zavisno</w:t>
      </w:r>
      <w:r>
        <w:rPr>
          <w:spacing w:val="-4"/>
        </w:rPr>
        <w:t xml:space="preserve"> </w:t>
      </w:r>
      <w:r>
        <w:t>od</w:t>
      </w:r>
      <w:r>
        <w:rPr>
          <w:spacing w:val="-4"/>
        </w:rPr>
        <w:t xml:space="preserve"> </w:t>
      </w:r>
      <w:r>
        <w:t>metoda</w:t>
      </w:r>
      <w:r>
        <w:rPr>
          <w:spacing w:val="-4"/>
        </w:rPr>
        <w:t xml:space="preserve"> </w:t>
      </w:r>
      <w:r>
        <w:t>koje</w:t>
      </w:r>
      <w:r>
        <w:rPr>
          <w:spacing w:val="-4"/>
        </w:rPr>
        <w:t xml:space="preserve"> </w:t>
      </w:r>
      <w:r>
        <w:t>koristi lokalna laboratorija i starosti deteta/pacijenta.</w:t>
      </w:r>
    </w:p>
    <w:p w14:paraId="5747F8A0" w14:textId="77777777" w:rsidR="00712CF5" w:rsidRDefault="00787E6B">
      <w:pPr>
        <w:pStyle w:val="BodyText"/>
        <w:ind w:right="1145"/>
      </w:pPr>
      <w:r>
        <w:t>Preporučena</w:t>
      </w:r>
      <w:r>
        <w:rPr>
          <w:spacing w:val="-3"/>
        </w:rPr>
        <w:t xml:space="preserve"> </w:t>
      </w:r>
      <w:r>
        <w:t>početna</w:t>
      </w:r>
      <w:r>
        <w:rPr>
          <w:spacing w:val="-3"/>
        </w:rPr>
        <w:t xml:space="preserve"> </w:t>
      </w:r>
      <w:r>
        <w:t>doza</w:t>
      </w:r>
      <w:r>
        <w:rPr>
          <w:spacing w:val="-3"/>
        </w:rPr>
        <w:t xml:space="preserve"> </w:t>
      </w:r>
      <w:r>
        <w:t>za</w:t>
      </w:r>
      <w:r>
        <w:rPr>
          <w:spacing w:val="-3"/>
        </w:rPr>
        <w:t xml:space="preserve"> </w:t>
      </w:r>
      <w:r>
        <w:t>decu</w:t>
      </w:r>
      <w:r>
        <w:rPr>
          <w:spacing w:val="-2"/>
        </w:rPr>
        <w:t xml:space="preserve"> </w:t>
      </w:r>
      <w:r>
        <w:t>uzrasta ≥</w:t>
      </w:r>
      <w:r>
        <w:rPr>
          <w:spacing w:val="-4"/>
        </w:rPr>
        <w:t xml:space="preserve"> </w:t>
      </w:r>
      <w:r>
        <w:t>3</w:t>
      </w:r>
      <w:r>
        <w:rPr>
          <w:spacing w:val="-4"/>
        </w:rPr>
        <w:t xml:space="preserve"> </w:t>
      </w:r>
      <w:r>
        <w:t>godine</w:t>
      </w:r>
      <w:r>
        <w:rPr>
          <w:spacing w:val="-4"/>
        </w:rPr>
        <w:t xml:space="preserve"> </w:t>
      </w:r>
      <w:r>
        <w:t>do</w:t>
      </w:r>
      <w:r>
        <w:rPr>
          <w:spacing w:val="-4"/>
        </w:rPr>
        <w:t xml:space="preserve"> </w:t>
      </w:r>
      <w:r>
        <w:t>&lt;</w:t>
      </w:r>
      <w:r>
        <w:rPr>
          <w:spacing w:val="-4"/>
        </w:rPr>
        <w:t xml:space="preserve"> </w:t>
      </w:r>
      <w:r>
        <w:t>18</w:t>
      </w:r>
      <w:r>
        <w:rPr>
          <w:spacing w:val="-4"/>
        </w:rPr>
        <w:t xml:space="preserve"> </w:t>
      </w:r>
      <w:r>
        <w:t>godina</w:t>
      </w:r>
      <w:r>
        <w:rPr>
          <w:spacing w:val="-4"/>
        </w:rPr>
        <w:t xml:space="preserve"> </w:t>
      </w:r>
      <w:r>
        <w:t>je</w:t>
      </w:r>
      <w:r>
        <w:rPr>
          <w:spacing w:val="-4"/>
        </w:rPr>
        <w:t xml:space="preserve"> </w:t>
      </w:r>
      <w:r>
        <w:t>≤</w:t>
      </w:r>
      <w:r>
        <w:rPr>
          <w:spacing w:val="-4"/>
        </w:rPr>
        <w:t xml:space="preserve"> </w:t>
      </w:r>
      <w:r>
        <w:t>0,20</w:t>
      </w:r>
      <w:r>
        <w:rPr>
          <w:spacing w:val="-4"/>
        </w:rPr>
        <w:t xml:space="preserve"> </w:t>
      </w:r>
      <w:r>
        <w:t>mg/kg</w:t>
      </w:r>
      <w:r>
        <w:rPr>
          <w:spacing w:val="-4"/>
        </w:rPr>
        <w:t xml:space="preserve"> </w:t>
      </w:r>
      <w:r>
        <w:t>jednom dnevno u odnosu na suvu telesnu masu pacijenta (videti Tabelu 1).</w:t>
      </w:r>
    </w:p>
    <w:p w14:paraId="5747F8A1" w14:textId="77777777" w:rsidR="00712CF5" w:rsidRDefault="00712CF5">
      <w:pPr>
        <w:pStyle w:val="BodyText"/>
        <w:spacing w:before="1"/>
        <w:ind w:left="0"/>
      </w:pPr>
    </w:p>
    <w:p w14:paraId="5747F8A2" w14:textId="77777777" w:rsidR="00712CF5" w:rsidRDefault="00787E6B">
      <w:pPr>
        <w:pStyle w:val="BodyText"/>
        <w:spacing w:before="1"/>
        <w:ind w:right="1145"/>
      </w:pPr>
      <w:r>
        <w:t>Dozu je moguće povećavati do postizanja željenog ciljnog raspona iPTH-a. Dozu je potrebno sekvencijalno</w:t>
      </w:r>
      <w:r>
        <w:rPr>
          <w:spacing w:val="-3"/>
        </w:rPr>
        <w:t xml:space="preserve"> </w:t>
      </w:r>
      <w:r>
        <w:t>povećavati</w:t>
      </w:r>
      <w:r>
        <w:rPr>
          <w:spacing w:val="-3"/>
        </w:rPr>
        <w:t xml:space="preserve"> </w:t>
      </w:r>
      <w:r>
        <w:t>dostupnim</w:t>
      </w:r>
      <w:r>
        <w:rPr>
          <w:spacing w:val="-3"/>
        </w:rPr>
        <w:t xml:space="preserve"> </w:t>
      </w:r>
      <w:r>
        <w:t>dozama</w:t>
      </w:r>
      <w:r>
        <w:rPr>
          <w:spacing w:val="-3"/>
        </w:rPr>
        <w:t xml:space="preserve"> </w:t>
      </w:r>
      <w:r>
        <w:t>(videti</w:t>
      </w:r>
      <w:r>
        <w:rPr>
          <w:spacing w:val="-3"/>
        </w:rPr>
        <w:t xml:space="preserve"> </w:t>
      </w:r>
      <w:r>
        <w:t>Tabelu</w:t>
      </w:r>
      <w:r>
        <w:rPr>
          <w:spacing w:val="-3"/>
        </w:rPr>
        <w:t xml:space="preserve"> </w:t>
      </w:r>
      <w:r>
        <w:t>1)</w:t>
      </w:r>
      <w:r>
        <w:rPr>
          <w:spacing w:val="-3"/>
        </w:rPr>
        <w:t xml:space="preserve"> </w:t>
      </w:r>
      <w:r>
        <w:t>ne</w:t>
      </w:r>
      <w:r>
        <w:rPr>
          <w:spacing w:val="-3"/>
        </w:rPr>
        <w:t xml:space="preserve"> </w:t>
      </w:r>
      <w:r>
        <w:t>češće</w:t>
      </w:r>
      <w:r>
        <w:rPr>
          <w:spacing w:val="-3"/>
        </w:rPr>
        <w:t xml:space="preserve"> </w:t>
      </w:r>
      <w:r>
        <w:t>od</w:t>
      </w:r>
      <w:r>
        <w:rPr>
          <w:spacing w:val="-3"/>
        </w:rPr>
        <w:t xml:space="preserve"> </w:t>
      </w:r>
      <w:r>
        <w:t>svake</w:t>
      </w:r>
      <w:r>
        <w:rPr>
          <w:spacing w:val="-3"/>
        </w:rPr>
        <w:t xml:space="preserve"> </w:t>
      </w:r>
      <w:r>
        <w:t>4</w:t>
      </w:r>
      <w:r>
        <w:rPr>
          <w:spacing w:val="-3"/>
        </w:rPr>
        <w:t xml:space="preserve"> </w:t>
      </w:r>
      <w:r>
        <w:t>nedelje.</w:t>
      </w:r>
      <w:r>
        <w:rPr>
          <w:spacing w:val="-3"/>
        </w:rPr>
        <w:t xml:space="preserve"> </w:t>
      </w:r>
      <w:r>
        <w:t>Dozu je moguće</w:t>
      </w:r>
      <w:r>
        <w:rPr>
          <w:spacing w:val="-2"/>
        </w:rPr>
        <w:t xml:space="preserve"> </w:t>
      </w:r>
      <w:r>
        <w:t>povećati</w:t>
      </w:r>
      <w:r>
        <w:rPr>
          <w:spacing w:val="-2"/>
        </w:rPr>
        <w:t xml:space="preserve"> </w:t>
      </w:r>
      <w:r>
        <w:t>do</w:t>
      </w:r>
      <w:r>
        <w:rPr>
          <w:spacing w:val="-2"/>
        </w:rPr>
        <w:t xml:space="preserve"> </w:t>
      </w:r>
      <w:r>
        <w:t>maksimalne vrednosti od</w:t>
      </w:r>
      <w:r>
        <w:rPr>
          <w:spacing w:val="-1"/>
        </w:rPr>
        <w:t xml:space="preserve"> </w:t>
      </w:r>
      <w:r>
        <w:t>2,5</w:t>
      </w:r>
      <w:r>
        <w:rPr>
          <w:spacing w:val="-1"/>
        </w:rPr>
        <w:t xml:space="preserve"> </w:t>
      </w:r>
      <w:r>
        <w:t>mg/kg/dan,</w:t>
      </w:r>
      <w:r>
        <w:rPr>
          <w:spacing w:val="-1"/>
        </w:rPr>
        <w:t xml:space="preserve"> </w:t>
      </w:r>
      <w:r>
        <w:t>ali</w:t>
      </w:r>
      <w:r>
        <w:rPr>
          <w:spacing w:val="-1"/>
        </w:rPr>
        <w:t xml:space="preserve"> </w:t>
      </w:r>
      <w:r>
        <w:t>da</w:t>
      </w:r>
      <w:r>
        <w:rPr>
          <w:spacing w:val="-1"/>
        </w:rPr>
        <w:t xml:space="preserve"> </w:t>
      </w:r>
      <w:r>
        <w:t>ne</w:t>
      </w:r>
      <w:r>
        <w:rPr>
          <w:spacing w:val="-1"/>
        </w:rPr>
        <w:t xml:space="preserve"> </w:t>
      </w:r>
      <w:r>
        <w:t>prelazi</w:t>
      </w:r>
      <w:r>
        <w:rPr>
          <w:spacing w:val="-1"/>
        </w:rPr>
        <w:t xml:space="preserve"> </w:t>
      </w:r>
      <w:r>
        <w:t>ukupnu</w:t>
      </w:r>
      <w:r>
        <w:rPr>
          <w:spacing w:val="-1"/>
        </w:rPr>
        <w:t xml:space="preserve"> </w:t>
      </w:r>
      <w:r>
        <w:t>dnevnu dozu od 180 mg.</w:t>
      </w:r>
    </w:p>
    <w:p w14:paraId="5747F8A3" w14:textId="77777777" w:rsidR="00712CF5" w:rsidRDefault="00787E6B">
      <w:pPr>
        <w:pStyle w:val="Heading2"/>
        <w:spacing w:after="6"/>
        <w:ind w:left="0" w:right="2"/>
        <w:jc w:val="center"/>
      </w:pPr>
      <w:r>
        <w:t>Tabela</w:t>
      </w:r>
      <w:r>
        <w:rPr>
          <w:spacing w:val="-7"/>
        </w:rPr>
        <w:t xml:space="preserve"> </w:t>
      </w:r>
      <w:r>
        <w:t>1.</w:t>
      </w:r>
      <w:r>
        <w:rPr>
          <w:spacing w:val="-7"/>
        </w:rPr>
        <w:t xml:space="preserve"> </w:t>
      </w:r>
      <w:r>
        <w:t>Dnevna</w:t>
      </w:r>
      <w:r>
        <w:rPr>
          <w:spacing w:val="-4"/>
        </w:rPr>
        <w:t xml:space="preserve"> </w:t>
      </w:r>
      <w:r>
        <w:t>doza</w:t>
      </w:r>
      <w:r>
        <w:rPr>
          <w:spacing w:val="-5"/>
        </w:rPr>
        <w:t xml:space="preserve"> </w:t>
      </w:r>
      <w:r>
        <w:t>leka</w:t>
      </w:r>
      <w:r>
        <w:rPr>
          <w:spacing w:val="-4"/>
        </w:rPr>
        <w:t xml:space="preserve"> </w:t>
      </w:r>
      <w:r>
        <w:t>Cineset</w:t>
      </w:r>
      <w:r>
        <w:rPr>
          <w:spacing w:val="-1"/>
        </w:rPr>
        <w:t xml:space="preserve"> </w:t>
      </w:r>
      <w:r>
        <w:t>kod</w:t>
      </w:r>
      <w:r>
        <w:rPr>
          <w:spacing w:val="-5"/>
        </w:rPr>
        <w:t xml:space="preserve"> </w:t>
      </w:r>
      <w:r>
        <w:t>pedijatrijskih</w:t>
      </w:r>
      <w:r>
        <w:rPr>
          <w:spacing w:val="-3"/>
        </w:rPr>
        <w:t xml:space="preserve"> </w:t>
      </w:r>
      <w:r>
        <w:rPr>
          <w:spacing w:val="-2"/>
        </w:rPr>
        <w:t>pacijenata</w:t>
      </w: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3019"/>
        <w:gridCol w:w="3009"/>
      </w:tblGrid>
      <w:tr w:rsidR="00712CF5" w14:paraId="5747F8A7" w14:textId="77777777">
        <w:trPr>
          <w:trHeight w:val="676"/>
        </w:trPr>
        <w:tc>
          <w:tcPr>
            <w:tcW w:w="3638" w:type="dxa"/>
          </w:tcPr>
          <w:p w14:paraId="5747F8A4" w14:textId="77777777" w:rsidR="00712CF5" w:rsidRDefault="00787E6B">
            <w:pPr>
              <w:pStyle w:val="TableParagraph"/>
              <w:spacing w:line="249" w:lineRule="exact"/>
              <w:ind w:left="15" w:right="5"/>
              <w:jc w:val="center"/>
              <w:rPr>
                <w:b/>
              </w:rPr>
            </w:pPr>
            <w:r>
              <w:rPr>
                <w:b/>
              </w:rPr>
              <w:t>Suva</w:t>
            </w:r>
            <w:r>
              <w:rPr>
                <w:b/>
                <w:spacing w:val="-11"/>
              </w:rPr>
              <w:t xml:space="preserve"> </w:t>
            </w:r>
            <w:r>
              <w:rPr>
                <w:b/>
              </w:rPr>
              <w:t>telesna</w:t>
            </w:r>
            <w:r>
              <w:rPr>
                <w:b/>
                <w:spacing w:val="-1"/>
              </w:rPr>
              <w:t xml:space="preserve"> </w:t>
            </w:r>
            <w:r>
              <w:rPr>
                <w:b/>
              </w:rPr>
              <w:t>masa</w:t>
            </w:r>
            <w:r>
              <w:rPr>
                <w:b/>
                <w:spacing w:val="-9"/>
              </w:rPr>
              <w:t xml:space="preserve"> </w:t>
            </w:r>
            <w:r>
              <w:rPr>
                <w:b/>
              </w:rPr>
              <w:t>pacijenta</w:t>
            </w:r>
            <w:r>
              <w:rPr>
                <w:b/>
                <w:spacing w:val="-8"/>
              </w:rPr>
              <w:t xml:space="preserve"> </w:t>
            </w:r>
            <w:r>
              <w:rPr>
                <w:b/>
                <w:spacing w:val="-4"/>
              </w:rPr>
              <w:t>(kg)</w:t>
            </w:r>
          </w:p>
        </w:tc>
        <w:tc>
          <w:tcPr>
            <w:tcW w:w="3019" w:type="dxa"/>
          </w:tcPr>
          <w:p w14:paraId="5747F8A5" w14:textId="77777777" w:rsidR="00712CF5" w:rsidRDefault="00787E6B">
            <w:pPr>
              <w:pStyle w:val="TableParagraph"/>
              <w:spacing w:line="249" w:lineRule="exact"/>
              <w:ind w:left="16" w:right="10"/>
              <w:jc w:val="center"/>
              <w:rPr>
                <w:b/>
              </w:rPr>
            </w:pPr>
            <w:r>
              <w:rPr>
                <w:b/>
              </w:rPr>
              <w:t>Početna</w:t>
            </w:r>
            <w:r>
              <w:rPr>
                <w:b/>
                <w:spacing w:val="-7"/>
              </w:rPr>
              <w:t xml:space="preserve"> </w:t>
            </w:r>
            <w:r>
              <w:rPr>
                <w:b/>
              </w:rPr>
              <w:t>doza</w:t>
            </w:r>
            <w:r>
              <w:rPr>
                <w:b/>
                <w:spacing w:val="-6"/>
              </w:rPr>
              <w:t xml:space="preserve"> </w:t>
            </w:r>
            <w:r>
              <w:rPr>
                <w:b/>
                <w:spacing w:val="-4"/>
              </w:rPr>
              <w:t>(mg)</w:t>
            </w:r>
          </w:p>
        </w:tc>
        <w:tc>
          <w:tcPr>
            <w:tcW w:w="3009" w:type="dxa"/>
          </w:tcPr>
          <w:p w14:paraId="5747F8A6" w14:textId="77777777" w:rsidR="00712CF5" w:rsidRDefault="00787E6B">
            <w:pPr>
              <w:pStyle w:val="TableParagraph"/>
              <w:spacing w:line="242" w:lineRule="auto"/>
              <w:ind w:left="1286" w:hanging="1124"/>
              <w:rPr>
                <w:b/>
              </w:rPr>
            </w:pPr>
            <w:r>
              <w:rPr>
                <w:b/>
              </w:rPr>
              <w:t>Dostupne</w:t>
            </w:r>
            <w:r>
              <w:rPr>
                <w:b/>
                <w:spacing w:val="-14"/>
              </w:rPr>
              <w:t xml:space="preserve"> </w:t>
            </w:r>
            <w:r>
              <w:rPr>
                <w:b/>
              </w:rPr>
              <w:t>sekvencijalne</w:t>
            </w:r>
            <w:r>
              <w:rPr>
                <w:b/>
                <w:spacing w:val="-14"/>
              </w:rPr>
              <w:t xml:space="preserve"> </w:t>
            </w:r>
            <w:r>
              <w:rPr>
                <w:b/>
              </w:rPr>
              <w:t xml:space="preserve">doze </w:t>
            </w:r>
            <w:r>
              <w:rPr>
                <w:b/>
                <w:spacing w:val="-4"/>
              </w:rPr>
              <w:t>(mg)</w:t>
            </w:r>
          </w:p>
        </w:tc>
      </w:tr>
      <w:tr w:rsidR="00712CF5" w14:paraId="5747F8AB" w14:textId="77777777">
        <w:trPr>
          <w:trHeight w:val="292"/>
        </w:trPr>
        <w:tc>
          <w:tcPr>
            <w:tcW w:w="3638" w:type="dxa"/>
          </w:tcPr>
          <w:p w14:paraId="5747F8A8" w14:textId="77777777" w:rsidR="00712CF5" w:rsidRDefault="00787E6B">
            <w:pPr>
              <w:pStyle w:val="TableParagraph"/>
              <w:ind w:left="15" w:right="1"/>
              <w:jc w:val="center"/>
            </w:pPr>
            <w:r>
              <w:t xml:space="preserve">10 do &lt; </w:t>
            </w:r>
            <w:r>
              <w:rPr>
                <w:spacing w:val="-4"/>
              </w:rPr>
              <w:t>12,5</w:t>
            </w:r>
          </w:p>
        </w:tc>
        <w:tc>
          <w:tcPr>
            <w:tcW w:w="3019" w:type="dxa"/>
          </w:tcPr>
          <w:p w14:paraId="5747F8A9" w14:textId="77777777" w:rsidR="00712CF5" w:rsidRDefault="00787E6B">
            <w:pPr>
              <w:pStyle w:val="TableParagraph"/>
              <w:ind w:left="16" w:right="6"/>
              <w:jc w:val="center"/>
            </w:pPr>
            <w:r>
              <w:rPr>
                <w:spacing w:val="-10"/>
              </w:rPr>
              <w:t>1</w:t>
            </w:r>
          </w:p>
        </w:tc>
        <w:tc>
          <w:tcPr>
            <w:tcW w:w="3009" w:type="dxa"/>
          </w:tcPr>
          <w:p w14:paraId="5747F8AA" w14:textId="77777777" w:rsidR="00712CF5" w:rsidRDefault="00787E6B">
            <w:pPr>
              <w:pStyle w:val="TableParagraph"/>
              <w:ind w:left="21"/>
              <w:jc w:val="center"/>
            </w:pPr>
            <w:r>
              <w:t>1;</w:t>
            </w:r>
            <w:r>
              <w:rPr>
                <w:spacing w:val="-3"/>
              </w:rPr>
              <w:t xml:space="preserve"> </w:t>
            </w:r>
            <w:r>
              <w:t>2,5;</w:t>
            </w:r>
            <w:r>
              <w:rPr>
                <w:spacing w:val="-2"/>
              </w:rPr>
              <w:t xml:space="preserve"> </w:t>
            </w:r>
            <w:r>
              <w:t>5;</w:t>
            </w:r>
            <w:r>
              <w:rPr>
                <w:spacing w:val="-3"/>
              </w:rPr>
              <w:t xml:space="preserve"> </w:t>
            </w:r>
            <w:r>
              <w:t>7,5;</w:t>
            </w:r>
            <w:r>
              <w:rPr>
                <w:spacing w:val="-2"/>
              </w:rPr>
              <w:t xml:space="preserve"> </w:t>
            </w:r>
            <w:r>
              <w:t>10</w:t>
            </w:r>
            <w:r>
              <w:rPr>
                <w:spacing w:val="-3"/>
              </w:rPr>
              <w:t xml:space="preserve"> </w:t>
            </w:r>
            <w:r>
              <w:t>i</w:t>
            </w:r>
            <w:r>
              <w:rPr>
                <w:spacing w:val="-2"/>
              </w:rPr>
              <w:t xml:space="preserve"> </w:t>
            </w:r>
            <w:r>
              <w:rPr>
                <w:spacing w:val="-5"/>
              </w:rPr>
              <w:t>15</w:t>
            </w:r>
          </w:p>
        </w:tc>
      </w:tr>
      <w:tr w:rsidR="00712CF5" w14:paraId="5747F8AF" w14:textId="77777777">
        <w:trPr>
          <w:trHeight w:val="340"/>
        </w:trPr>
        <w:tc>
          <w:tcPr>
            <w:tcW w:w="3638" w:type="dxa"/>
          </w:tcPr>
          <w:p w14:paraId="5747F8AC" w14:textId="77777777" w:rsidR="00712CF5" w:rsidRDefault="00787E6B">
            <w:pPr>
              <w:pStyle w:val="TableParagraph"/>
              <w:ind w:left="15" w:right="1"/>
              <w:jc w:val="center"/>
            </w:pPr>
            <w:r>
              <w:t>≥</w:t>
            </w:r>
            <w:r>
              <w:rPr>
                <w:spacing w:val="-2"/>
              </w:rPr>
              <w:t xml:space="preserve"> </w:t>
            </w:r>
            <w:r>
              <w:t>12,5</w:t>
            </w:r>
            <w:r>
              <w:rPr>
                <w:spacing w:val="-2"/>
              </w:rPr>
              <w:t xml:space="preserve"> </w:t>
            </w:r>
            <w:r>
              <w:t>do</w:t>
            </w:r>
            <w:r>
              <w:rPr>
                <w:spacing w:val="-2"/>
              </w:rPr>
              <w:t xml:space="preserve"> </w:t>
            </w:r>
            <w:r>
              <w:t>&lt;</w:t>
            </w:r>
            <w:r>
              <w:rPr>
                <w:spacing w:val="-2"/>
              </w:rPr>
              <w:t xml:space="preserve"> </w:t>
            </w:r>
            <w:r>
              <w:rPr>
                <w:spacing w:val="-5"/>
              </w:rPr>
              <w:t>25</w:t>
            </w:r>
          </w:p>
        </w:tc>
        <w:tc>
          <w:tcPr>
            <w:tcW w:w="3019" w:type="dxa"/>
          </w:tcPr>
          <w:p w14:paraId="5747F8AD" w14:textId="77777777" w:rsidR="00712CF5" w:rsidRDefault="00787E6B">
            <w:pPr>
              <w:pStyle w:val="TableParagraph"/>
              <w:ind w:left="16"/>
              <w:jc w:val="center"/>
            </w:pPr>
            <w:r>
              <w:rPr>
                <w:spacing w:val="-5"/>
              </w:rPr>
              <w:t>2,5</w:t>
            </w:r>
          </w:p>
        </w:tc>
        <w:tc>
          <w:tcPr>
            <w:tcW w:w="3009" w:type="dxa"/>
          </w:tcPr>
          <w:p w14:paraId="5747F8AE" w14:textId="77777777" w:rsidR="00712CF5" w:rsidRDefault="00787E6B">
            <w:pPr>
              <w:pStyle w:val="TableParagraph"/>
              <w:ind w:left="21" w:right="5"/>
              <w:jc w:val="center"/>
            </w:pPr>
            <w:r>
              <w:t>2,5;</w:t>
            </w:r>
            <w:r>
              <w:rPr>
                <w:spacing w:val="-3"/>
              </w:rPr>
              <w:t xml:space="preserve"> </w:t>
            </w:r>
            <w:r>
              <w:t>5;</w:t>
            </w:r>
            <w:r>
              <w:rPr>
                <w:spacing w:val="-3"/>
              </w:rPr>
              <w:t xml:space="preserve"> </w:t>
            </w:r>
            <w:r>
              <w:t>7,5;</w:t>
            </w:r>
            <w:r>
              <w:rPr>
                <w:spacing w:val="-2"/>
              </w:rPr>
              <w:t xml:space="preserve"> </w:t>
            </w:r>
            <w:r>
              <w:t>10;</w:t>
            </w:r>
            <w:r>
              <w:rPr>
                <w:spacing w:val="-3"/>
              </w:rPr>
              <w:t xml:space="preserve"> </w:t>
            </w:r>
            <w:r>
              <w:t>15</w:t>
            </w:r>
            <w:r>
              <w:rPr>
                <w:spacing w:val="-3"/>
              </w:rPr>
              <w:t xml:space="preserve"> </w:t>
            </w:r>
            <w:r>
              <w:t>i</w:t>
            </w:r>
            <w:r>
              <w:rPr>
                <w:spacing w:val="-2"/>
              </w:rPr>
              <w:t xml:space="preserve"> </w:t>
            </w:r>
            <w:r>
              <w:rPr>
                <w:spacing w:val="-5"/>
              </w:rPr>
              <w:t>30</w:t>
            </w:r>
          </w:p>
        </w:tc>
      </w:tr>
      <w:tr w:rsidR="00712CF5" w14:paraId="5747F8B3" w14:textId="77777777">
        <w:trPr>
          <w:trHeight w:val="335"/>
        </w:trPr>
        <w:tc>
          <w:tcPr>
            <w:tcW w:w="3638" w:type="dxa"/>
          </w:tcPr>
          <w:p w14:paraId="5747F8B0" w14:textId="77777777" w:rsidR="00712CF5" w:rsidRDefault="00787E6B">
            <w:pPr>
              <w:pStyle w:val="TableParagraph"/>
              <w:ind w:left="15" w:right="1"/>
              <w:jc w:val="center"/>
            </w:pPr>
            <w:r>
              <w:t>≥</w:t>
            </w:r>
            <w:r>
              <w:rPr>
                <w:spacing w:val="-3"/>
              </w:rPr>
              <w:t xml:space="preserve"> </w:t>
            </w:r>
            <w:r>
              <w:t>25 do</w:t>
            </w:r>
            <w:r>
              <w:rPr>
                <w:spacing w:val="-1"/>
              </w:rPr>
              <w:t xml:space="preserve"> </w:t>
            </w:r>
            <w:r>
              <w:t xml:space="preserve">&lt; </w:t>
            </w:r>
            <w:r>
              <w:rPr>
                <w:spacing w:val="-5"/>
              </w:rPr>
              <w:t>36</w:t>
            </w:r>
          </w:p>
        </w:tc>
        <w:tc>
          <w:tcPr>
            <w:tcW w:w="3019" w:type="dxa"/>
          </w:tcPr>
          <w:p w14:paraId="5747F8B1" w14:textId="77777777" w:rsidR="00712CF5" w:rsidRDefault="00787E6B">
            <w:pPr>
              <w:pStyle w:val="TableParagraph"/>
              <w:ind w:left="16" w:right="6"/>
              <w:jc w:val="center"/>
            </w:pPr>
            <w:r>
              <w:rPr>
                <w:spacing w:val="-10"/>
              </w:rPr>
              <w:t>5</w:t>
            </w:r>
          </w:p>
        </w:tc>
        <w:tc>
          <w:tcPr>
            <w:tcW w:w="3009" w:type="dxa"/>
          </w:tcPr>
          <w:p w14:paraId="5747F8B2" w14:textId="77777777" w:rsidR="00712CF5" w:rsidRDefault="00787E6B">
            <w:pPr>
              <w:pStyle w:val="TableParagraph"/>
              <w:ind w:left="21" w:right="5"/>
              <w:jc w:val="center"/>
            </w:pPr>
            <w:r>
              <w:t xml:space="preserve">5, 10, 15, 30 i </w:t>
            </w:r>
            <w:r>
              <w:rPr>
                <w:spacing w:val="-5"/>
              </w:rPr>
              <w:t>60</w:t>
            </w:r>
          </w:p>
        </w:tc>
      </w:tr>
      <w:tr w:rsidR="00712CF5" w14:paraId="5747F8B7" w14:textId="77777777">
        <w:trPr>
          <w:trHeight w:val="249"/>
        </w:trPr>
        <w:tc>
          <w:tcPr>
            <w:tcW w:w="3638" w:type="dxa"/>
          </w:tcPr>
          <w:p w14:paraId="5747F8B4" w14:textId="77777777" w:rsidR="00712CF5" w:rsidRDefault="00787E6B">
            <w:pPr>
              <w:pStyle w:val="TableParagraph"/>
              <w:spacing w:line="229" w:lineRule="exact"/>
              <w:ind w:left="15" w:right="1"/>
              <w:jc w:val="center"/>
            </w:pPr>
            <w:r>
              <w:t>≥ 36</w:t>
            </w:r>
            <w:r>
              <w:rPr>
                <w:spacing w:val="-1"/>
              </w:rPr>
              <w:t xml:space="preserve"> </w:t>
            </w:r>
            <w:r>
              <w:t>do</w:t>
            </w:r>
            <w:r>
              <w:rPr>
                <w:spacing w:val="-2"/>
              </w:rPr>
              <w:t xml:space="preserve"> </w:t>
            </w:r>
            <w:r>
              <w:t>&lt;</w:t>
            </w:r>
            <w:r>
              <w:rPr>
                <w:spacing w:val="-1"/>
              </w:rPr>
              <w:t xml:space="preserve"> </w:t>
            </w:r>
            <w:r>
              <w:rPr>
                <w:spacing w:val="-5"/>
              </w:rPr>
              <w:t>50</w:t>
            </w:r>
          </w:p>
        </w:tc>
        <w:tc>
          <w:tcPr>
            <w:tcW w:w="3019" w:type="dxa"/>
          </w:tcPr>
          <w:p w14:paraId="5747F8B5" w14:textId="77777777" w:rsidR="00712CF5" w:rsidRDefault="00787E6B">
            <w:pPr>
              <w:pStyle w:val="TableParagraph"/>
              <w:spacing w:line="229" w:lineRule="exact"/>
              <w:ind w:left="16" w:right="6"/>
              <w:jc w:val="center"/>
            </w:pPr>
            <w:r>
              <w:rPr>
                <w:spacing w:val="-10"/>
              </w:rPr>
              <w:t>5</w:t>
            </w:r>
          </w:p>
        </w:tc>
        <w:tc>
          <w:tcPr>
            <w:tcW w:w="3009" w:type="dxa"/>
          </w:tcPr>
          <w:p w14:paraId="5747F8B6" w14:textId="77777777" w:rsidR="00712CF5" w:rsidRDefault="00787E6B">
            <w:pPr>
              <w:pStyle w:val="TableParagraph"/>
              <w:spacing w:line="229" w:lineRule="exact"/>
              <w:ind w:left="21" w:right="5"/>
              <w:jc w:val="center"/>
            </w:pPr>
            <w:r>
              <w:t>5,</w:t>
            </w:r>
            <w:r>
              <w:rPr>
                <w:spacing w:val="-3"/>
              </w:rPr>
              <w:t xml:space="preserve"> </w:t>
            </w:r>
            <w:r>
              <w:t>10,</w:t>
            </w:r>
            <w:r>
              <w:rPr>
                <w:spacing w:val="-2"/>
              </w:rPr>
              <w:t xml:space="preserve"> </w:t>
            </w:r>
            <w:r>
              <w:t>15,</w:t>
            </w:r>
            <w:r>
              <w:rPr>
                <w:spacing w:val="-2"/>
              </w:rPr>
              <w:t xml:space="preserve"> </w:t>
            </w:r>
            <w:r>
              <w:t>30,</w:t>
            </w:r>
            <w:r>
              <w:rPr>
                <w:spacing w:val="-3"/>
              </w:rPr>
              <w:t xml:space="preserve"> </w:t>
            </w:r>
            <w:r>
              <w:t>60</w:t>
            </w:r>
            <w:r>
              <w:rPr>
                <w:spacing w:val="-2"/>
              </w:rPr>
              <w:t xml:space="preserve"> </w:t>
            </w:r>
            <w:r>
              <w:t>i</w:t>
            </w:r>
            <w:r>
              <w:rPr>
                <w:spacing w:val="-2"/>
              </w:rPr>
              <w:t xml:space="preserve"> </w:t>
            </w:r>
            <w:r>
              <w:rPr>
                <w:spacing w:val="-5"/>
              </w:rPr>
              <w:t>90</w:t>
            </w:r>
          </w:p>
        </w:tc>
      </w:tr>
      <w:tr w:rsidR="00712CF5" w14:paraId="5747F8BB" w14:textId="77777777">
        <w:trPr>
          <w:trHeight w:val="253"/>
        </w:trPr>
        <w:tc>
          <w:tcPr>
            <w:tcW w:w="3638" w:type="dxa"/>
          </w:tcPr>
          <w:p w14:paraId="5747F8B8" w14:textId="77777777" w:rsidR="00712CF5" w:rsidRDefault="00787E6B">
            <w:pPr>
              <w:pStyle w:val="TableParagraph"/>
              <w:spacing w:line="234" w:lineRule="exact"/>
              <w:ind w:left="15" w:right="1"/>
              <w:jc w:val="center"/>
            </w:pPr>
            <w:r>
              <w:t>≥</w:t>
            </w:r>
            <w:r>
              <w:rPr>
                <w:spacing w:val="-3"/>
              </w:rPr>
              <w:t xml:space="preserve"> </w:t>
            </w:r>
            <w:r>
              <w:t>50 do</w:t>
            </w:r>
            <w:r>
              <w:rPr>
                <w:spacing w:val="-1"/>
              </w:rPr>
              <w:t xml:space="preserve"> </w:t>
            </w:r>
            <w:r>
              <w:t xml:space="preserve">&lt; </w:t>
            </w:r>
            <w:r>
              <w:rPr>
                <w:spacing w:val="-5"/>
              </w:rPr>
              <w:t>75</w:t>
            </w:r>
          </w:p>
        </w:tc>
        <w:tc>
          <w:tcPr>
            <w:tcW w:w="3019" w:type="dxa"/>
          </w:tcPr>
          <w:p w14:paraId="5747F8B9" w14:textId="77777777" w:rsidR="00712CF5" w:rsidRDefault="00787E6B">
            <w:pPr>
              <w:pStyle w:val="TableParagraph"/>
              <w:spacing w:line="234" w:lineRule="exact"/>
              <w:ind w:left="16" w:right="1"/>
              <w:jc w:val="center"/>
            </w:pPr>
            <w:r>
              <w:rPr>
                <w:spacing w:val="-5"/>
              </w:rPr>
              <w:t>10</w:t>
            </w:r>
          </w:p>
        </w:tc>
        <w:tc>
          <w:tcPr>
            <w:tcW w:w="3009" w:type="dxa"/>
          </w:tcPr>
          <w:p w14:paraId="5747F8BA" w14:textId="77777777" w:rsidR="00712CF5" w:rsidRDefault="00787E6B">
            <w:pPr>
              <w:pStyle w:val="TableParagraph"/>
              <w:spacing w:line="234" w:lineRule="exact"/>
              <w:ind w:left="21" w:right="5"/>
              <w:jc w:val="center"/>
            </w:pPr>
            <w:r>
              <w:t>10,</w:t>
            </w:r>
            <w:r>
              <w:rPr>
                <w:spacing w:val="-4"/>
              </w:rPr>
              <w:t xml:space="preserve"> </w:t>
            </w:r>
            <w:r>
              <w:t>15,</w:t>
            </w:r>
            <w:r>
              <w:rPr>
                <w:spacing w:val="-2"/>
              </w:rPr>
              <w:t xml:space="preserve"> </w:t>
            </w:r>
            <w:r>
              <w:t>30,</w:t>
            </w:r>
            <w:r>
              <w:rPr>
                <w:spacing w:val="-1"/>
              </w:rPr>
              <w:t xml:space="preserve"> </w:t>
            </w:r>
            <w:r>
              <w:t>60,</w:t>
            </w:r>
            <w:r>
              <w:rPr>
                <w:spacing w:val="-2"/>
              </w:rPr>
              <w:t xml:space="preserve"> </w:t>
            </w:r>
            <w:r>
              <w:t>90,</w:t>
            </w:r>
            <w:r>
              <w:rPr>
                <w:spacing w:val="-2"/>
              </w:rPr>
              <w:t xml:space="preserve"> </w:t>
            </w:r>
            <w:r>
              <w:t>i</w:t>
            </w:r>
            <w:r>
              <w:rPr>
                <w:spacing w:val="-1"/>
              </w:rPr>
              <w:t xml:space="preserve"> </w:t>
            </w:r>
            <w:r>
              <w:rPr>
                <w:spacing w:val="-5"/>
              </w:rPr>
              <w:t>120</w:t>
            </w:r>
          </w:p>
        </w:tc>
      </w:tr>
      <w:tr w:rsidR="00712CF5" w14:paraId="5747F8BF" w14:textId="77777777">
        <w:trPr>
          <w:trHeight w:val="253"/>
        </w:trPr>
        <w:tc>
          <w:tcPr>
            <w:tcW w:w="3638" w:type="dxa"/>
          </w:tcPr>
          <w:p w14:paraId="5747F8BC" w14:textId="77777777" w:rsidR="00712CF5" w:rsidRDefault="00787E6B">
            <w:pPr>
              <w:pStyle w:val="TableParagraph"/>
              <w:spacing w:line="234" w:lineRule="exact"/>
              <w:ind w:left="15"/>
              <w:jc w:val="center"/>
            </w:pPr>
            <w:r>
              <w:t>≥</w:t>
            </w:r>
            <w:r>
              <w:rPr>
                <w:spacing w:val="1"/>
              </w:rPr>
              <w:t xml:space="preserve"> </w:t>
            </w:r>
            <w:r>
              <w:rPr>
                <w:spacing w:val="-5"/>
              </w:rPr>
              <w:t>75</w:t>
            </w:r>
          </w:p>
        </w:tc>
        <w:tc>
          <w:tcPr>
            <w:tcW w:w="3019" w:type="dxa"/>
          </w:tcPr>
          <w:p w14:paraId="5747F8BD" w14:textId="77777777" w:rsidR="00712CF5" w:rsidRDefault="00787E6B">
            <w:pPr>
              <w:pStyle w:val="TableParagraph"/>
              <w:spacing w:line="234" w:lineRule="exact"/>
              <w:ind w:left="16" w:right="1"/>
              <w:jc w:val="center"/>
            </w:pPr>
            <w:r>
              <w:rPr>
                <w:spacing w:val="-5"/>
              </w:rPr>
              <w:t>15</w:t>
            </w:r>
          </w:p>
        </w:tc>
        <w:tc>
          <w:tcPr>
            <w:tcW w:w="3009" w:type="dxa"/>
          </w:tcPr>
          <w:p w14:paraId="5747F8BE" w14:textId="77777777" w:rsidR="00712CF5" w:rsidRDefault="00787E6B">
            <w:pPr>
              <w:pStyle w:val="TableParagraph"/>
              <w:spacing w:line="234" w:lineRule="exact"/>
              <w:ind w:left="21"/>
              <w:jc w:val="center"/>
            </w:pPr>
            <w:r>
              <w:t>15,</w:t>
            </w:r>
            <w:r>
              <w:rPr>
                <w:spacing w:val="-4"/>
              </w:rPr>
              <w:t xml:space="preserve"> </w:t>
            </w:r>
            <w:r>
              <w:t>30,</w:t>
            </w:r>
            <w:r>
              <w:rPr>
                <w:spacing w:val="-2"/>
              </w:rPr>
              <w:t xml:space="preserve"> </w:t>
            </w:r>
            <w:r>
              <w:t>60,</w:t>
            </w:r>
            <w:r>
              <w:rPr>
                <w:spacing w:val="-2"/>
              </w:rPr>
              <w:t xml:space="preserve"> </w:t>
            </w:r>
            <w:r>
              <w:t>90,</w:t>
            </w:r>
            <w:r>
              <w:rPr>
                <w:spacing w:val="-2"/>
              </w:rPr>
              <w:t xml:space="preserve"> </w:t>
            </w:r>
            <w:r>
              <w:t>120,</w:t>
            </w:r>
            <w:r>
              <w:rPr>
                <w:spacing w:val="-2"/>
              </w:rPr>
              <w:t xml:space="preserve"> </w:t>
            </w:r>
            <w:r>
              <w:t>i</w:t>
            </w:r>
            <w:r>
              <w:rPr>
                <w:spacing w:val="-1"/>
              </w:rPr>
              <w:t xml:space="preserve"> </w:t>
            </w:r>
            <w:r>
              <w:rPr>
                <w:spacing w:val="-5"/>
              </w:rPr>
              <w:t>180</w:t>
            </w:r>
          </w:p>
        </w:tc>
      </w:tr>
    </w:tbl>
    <w:p w14:paraId="5747F8C0" w14:textId="77777777" w:rsidR="00712CF5" w:rsidRDefault="00787E6B">
      <w:pPr>
        <w:spacing w:before="249" w:line="251" w:lineRule="exact"/>
        <w:ind w:left="140"/>
        <w:jc w:val="both"/>
        <w:rPr>
          <w:i/>
        </w:rPr>
      </w:pPr>
      <w:r>
        <w:rPr>
          <w:i/>
        </w:rPr>
        <w:t>Prilagođavanje</w:t>
      </w:r>
      <w:r>
        <w:rPr>
          <w:i/>
          <w:spacing w:val="-7"/>
        </w:rPr>
        <w:t xml:space="preserve"> </w:t>
      </w:r>
      <w:r>
        <w:rPr>
          <w:i/>
        </w:rPr>
        <w:t>doze</w:t>
      </w:r>
      <w:r>
        <w:rPr>
          <w:i/>
          <w:spacing w:val="-8"/>
        </w:rPr>
        <w:t xml:space="preserve"> </w:t>
      </w:r>
      <w:r>
        <w:rPr>
          <w:i/>
        </w:rPr>
        <w:t>na</w:t>
      </w:r>
      <w:r>
        <w:rPr>
          <w:i/>
          <w:spacing w:val="-6"/>
        </w:rPr>
        <w:t xml:space="preserve"> </w:t>
      </w:r>
      <w:r>
        <w:rPr>
          <w:i/>
        </w:rPr>
        <w:t>osnovu</w:t>
      </w:r>
      <w:r>
        <w:rPr>
          <w:i/>
          <w:spacing w:val="-6"/>
        </w:rPr>
        <w:t xml:space="preserve"> </w:t>
      </w:r>
      <w:r>
        <w:rPr>
          <w:i/>
        </w:rPr>
        <w:t>vrednosti</w:t>
      </w:r>
      <w:r>
        <w:rPr>
          <w:i/>
          <w:spacing w:val="-7"/>
        </w:rPr>
        <w:t xml:space="preserve"> </w:t>
      </w:r>
      <w:r>
        <w:rPr>
          <w:i/>
        </w:rPr>
        <w:t>PTH-</w:t>
      </w:r>
      <w:r>
        <w:rPr>
          <w:i/>
          <w:spacing w:val="-10"/>
        </w:rPr>
        <w:t>a</w:t>
      </w:r>
    </w:p>
    <w:p w14:paraId="5747F8C1" w14:textId="77777777" w:rsidR="00712CF5" w:rsidRDefault="00787E6B">
      <w:pPr>
        <w:pStyle w:val="BodyText"/>
        <w:ind w:right="145"/>
        <w:jc w:val="both"/>
      </w:pPr>
      <w:r>
        <w:t>Vrednosti PTH-a treba odrediti najmanje 12 sati nakon uzimanja leka Cineset, a iPTH treba izmeriti 1 do 4 nedelje nakon započete terapije ili prilagođavanja doze leka Cineset.</w:t>
      </w:r>
    </w:p>
    <w:p w14:paraId="5747F8C2" w14:textId="77777777" w:rsidR="00712CF5" w:rsidRDefault="00787E6B">
      <w:pPr>
        <w:pStyle w:val="BodyText"/>
        <w:spacing w:before="251"/>
        <w:jc w:val="both"/>
      </w:pPr>
      <w:r>
        <w:t>Dozu</w:t>
      </w:r>
      <w:r>
        <w:rPr>
          <w:spacing w:val="-8"/>
        </w:rPr>
        <w:t xml:space="preserve"> </w:t>
      </w:r>
      <w:r>
        <w:t>treba</w:t>
      </w:r>
      <w:r>
        <w:rPr>
          <w:spacing w:val="-6"/>
        </w:rPr>
        <w:t xml:space="preserve"> </w:t>
      </w:r>
      <w:r>
        <w:t>prilagoditi</w:t>
      </w:r>
      <w:r>
        <w:rPr>
          <w:spacing w:val="-6"/>
        </w:rPr>
        <w:t xml:space="preserve"> </w:t>
      </w:r>
      <w:r>
        <w:t>na</w:t>
      </w:r>
      <w:r>
        <w:rPr>
          <w:spacing w:val="-6"/>
        </w:rPr>
        <w:t xml:space="preserve"> </w:t>
      </w:r>
      <w:r>
        <w:t>temelju</w:t>
      </w:r>
      <w:r>
        <w:rPr>
          <w:spacing w:val="-5"/>
        </w:rPr>
        <w:t xml:space="preserve"> </w:t>
      </w:r>
      <w:r>
        <w:t>iPTH-a</w:t>
      </w:r>
      <w:r>
        <w:rPr>
          <w:spacing w:val="-6"/>
        </w:rPr>
        <w:t xml:space="preserve"> </w:t>
      </w:r>
      <w:r>
        <w:t>kako</w:t>
      </w:r>
      <w:r>
        <w:rPr>
          <w:spacing w:val="-6"/>
        </w:rPr>
        <w:t xml:space="preserve"> </w:t>
      </w:r>
      <w:r>
        <w:t>je</w:t>
      </w:r>
      <w:r>
        <w:rPr>
          <w:spacing w:val="-6"/>
        </w:rPr>
        <w:t xml:space="preserve"> </w:t>
      </w:r>
      <w:r>
        <w:t>prikazano</w:t>
      </w:r>
      <w:r>
        <w:rPr>
          <w:spacing w:val="-5"/>
        </w:rPr>
        <w:t xml:space="preserve"> </w:t>
      </w:r>
      <w:r>
        <w:rPr>
          <w:spacing w:val="-2"/>
        </w:rPr>
        <w:t>niže:</w:t>
      </w:r>
    </w:p>
    <w:p w14:paraId="5747F8C3" w14:textId="77777777" w:rsidR="00712CF5" w:rsidRDefault="00787E6B">
      <w:pPr>
        <w:pStyle w:val="ListParagraph"/>
        <w:numPr>
          <w:ilvl w:val="0"/>
          <w:numId w:val="1"/>
        </w:numPr>
        <w:tabs>
          <w:tab w:val="left" w:pos="422"/>
        </w:tabs>
        <w:spacing w:before="1"/>
        <w:ind w:right="140" w:firstLine="0"/>
        <w:jc w:val="both"/>
      </w:pPr>
      <w:r>
        <w:t>Ako je iPTH &lt; 150 piktograma/mL (15,9 piktomola/L) i ≥ 100 piktograma/mL (10,6 piktomola/L), smanjiti dozu leka Cineset na prethodnu manju dozu.</w:t>
      </w:r>
    </w:p>
    <w:p w14:paraId="5747F8C4" w14:textId="0ECC8977" w:rsidR="00712CF5" w:rsidRDefault="00787E6B">
      <w:pPr>
        <w:pStyle w:val="ListParagraph"/>
        <w:numPr>
          <w:ilvl w:val="0"/>
          <w:numId w:val="1"/>
        </w:numPr>
        <w:tabs>
          <w:tab w:val="left" w:pos="422"/>
        </w:tabs>
        <w:spacing w:before="3"/>
        <w:ind w:right="140" w:firstLine="0"/>
        <w:jc w:val="both"/>
      </w:pPr>
      <w:r>
        <w:t>Ako je iPTH &lt; 100 piktograma/mL (10,6 pikromola/L), privremeno prekinite terapiju lekom Cineset, ponovno započnite terapiju lekom Cineset uz prethodnu manju dozu leka kada iPTH bude &gt; 150 piktograma/mL (15,9 pikromola/L). Ukoliko je terapija lekom Cineset bila prekinut</w:t>
      </w:r>
      <w:r w:rsidR="00E26E19">
        <w:t>a</w:t>
      </w:r>
      <w:r>
        <w:t xml:space="preserve"> duže od 14 dana, ponovno započnite preporučenom početnom dozom leka.</w:t>
      </w:r>
    </w:p>
    <w:p w14:paraId="5747F8C5" w14:textId="77777777" w:rsidR="00712CF5" w:rsidRDefault="00787E6B">
      <w:pPr>
        <w:spacing w:before="251"/>
        <w:ind w:left="140"/>
        <w:jc w:val="both"/>
        <w:rPr>
          <w:i/>
        </w:rPr>
      </w:pPr>
      <w:r>
        <w:rPr>
          <w:i/>
        </w:rPr>
        <w:t>Prilagođavanje</w:t>
      </w:r>
      <w:r>
        <w:rPr>
          <w:i/>
          <w:spacing w:val="-8"/>
        </w:rPr>
        <w:t xml:space="preserve"> </w:t>
      </w:r>
      <w:r>
        <w:rPr>
          <w:i/>
        </w:rPr>
        <w:t>doze</w:t>
      </w:r>
      <w:r>
        <w:rPr>
          <w:i/>
          <w:spacing w:val="-7"/>
        </w:rPr>
        <w:t xml:space="preserve"> </w:t>
      </w:r>
      <w:r>
        <w:rPr>
          <w:i/>
        </w:rPr>
        <w:t>na</w:t>
      </w:r>
      <w:r>
        <w:rPr>
          <w:i/>
          <w:spacing w:val="-5"/>
        </w:rPr>
        <w:t xml:space="preserve"> </w:t>
      </w:r>
      <w:r>
        <w:rPr>
          <w:i/>
        </w:rPr>
        <w:t>osnovu</w:t>
      </w:r>
      <w:r>
        <w:rPr>
          <w:i/>
          <w:spacing w:val="-5"/>
        </w:rPr>
        <w:t xml:space="preserve"> </w:t>
      </w:r>
      <w:r>
        <w:rPr>
          <w:i/>
        </w:rPr>
        <w:t>koncentracije</w:t>
      </w:r>
      <w:r>
        <w:rPr>
          <w:i/>
          <w:spacing w:val="-7"/>
        </w:rPr>
        <w:t xml:space="preserve"> </w:t>
      </w:r>
      <w:r>
        <w:rPr>
          <w:i/>
        </w:rPr>
        <w:t>kalcijuma</w:t>
      </w:r>
      <w:r>
        <w:rPr>
          <w:i/>
          <w:spacing w:val="-6"/>
        </w:rPr>
        <w:t xml:space="preserve"> </w:t>
      </w:r>
      <w:r>
        <w:rPr>
          <w:i/>
        </w:rPr>
        <w:t>u</w:t>
      </w:r>
      <w:r>
        <w:rPr>
          <w:i/>
          <w:spacing w:val="-5"/>
        </w:rPr>
        <w:t xml:space="preserve"> </w:t>
      </w:r>
      <w:r>
        <w:rPr>
          <w:i/>
          <w:spacing w:val="-2"/>
        </w:rPr>
        <w:t>serumu</w:t>
      </w:r>
    </w:p>
    <w:p w14:paraId="5747F8C6" w14:textId="7665D5FF" w:rsidR="00712CF5" w:rsidRDefault="00787E6B">
      <w:pPr>
        <w:pStyle w:val="BodyText"/>
        <w:spacing w:before="1"/>
      </w:pPr>
      <w:r>
        <w:t>Koncentraciju</w:t>
      </w:r>
      <w:r>
        <w:rPr>
          <w:spacing w:val="-5"/>
        </w:rPr>
        <w:t xml:space="preserve"> </w:t>
      </w:r>
      <w:r>
        <w:t>kalcijuma</w:t>
      </w:r>
      <w:r>
        <w:rPr>
          <w:spacing w:val="-5"/>
        </w:rPr>
        <w:t xml:space="preserve"> </w:t>
      </w:r>
      <w:r>
        <w:t>u</w:t>
      </w:r>
      <w:r>
        <w:rPr>
          <w:spacing w:val="-3"/>
        </w:rPr>
        <w:t xml:space="preserve"> </w:t>
      </w:r>
      <w:r>
        <w:t>serumu</w:t>
      </w:r>
      <w:r>
        <w:rPr>
          <w:spacing w:val="-2"/>
        </w:rPr>
        <w:t xml:space="preserve"> </w:t>
      </w:r>
      <w:r>
        <w:t>treba</w:t>
      </w:r>
      <w:r>
        <w:rPr>
          <w:spacing w:val="-2"/>
        </w:rPr>
        <w:t xml:space="preserve"> </w:t>
      </w:r>
      <w:r>
        <w:t>kontrolisati</w:t>
      </w:r>
      <w:r>
        <w:rPr>
          <w:spacing w:val="-3"/>
        </w:rPr>
        <w:t xml:space="preserve"> </w:t>
      </w:r>
      <w:r w:rsidR="00E26E19">
        <w:rPr>
          <w:spacing w:val="-3"/>
        </w:rPr>
        <w:t>u</w:t>
      </w:r>
      <w:r>
        <w:t>nutar</w:t>
      </w:r>
      <w:r>
        <w:rPr>
          <w:spacing w:val="-2"/>
        </w:rPr>
        <w:t xml:space="preserve"> </w:t>
      </w:r>
      <w:r>
        <w:t>nedelju</w:t>
      </w:r>
      <w:r>
        <w:rPr>
          <w:spacing w:val="-2"/>
        </w:rPr>
        <w:t xml:space="preserve"> </w:t>
      </w:r>
      <w:r>
        <w:t>dana</w:t>
      </w:r>
      <w:r>
        <w:rPr>
          <w:spacing w:val="-6"/>
        </w:rPr>
        <w:t xml:space="preserve"> </w:t>
      </w:r>
      <w:r>
        <w:t>od</w:t>
      </w:r>
      <w:r>
        <w:rPr>
          <w:spacing w:val="-3"/>
        </w:rPr>
        <w:t xml:space="preserve"> </w:t>
      </w:r>
      <w:r>
        <w:t>započinjanja</w:t>
      </w:r>
      <w:r>
        <w:rPr>
          <w:spacing w:val="-3"/>
        </w:rPr>
        <w:t xml:space="preserve"> </w:t>
      </w:r>
      <w:r>
        <w:t>terapije</w:t>
      </w:r>
      <w:r>
        <w:rPr>
          <w:spacing w:val="-6"/>
        </w:rPr>
        <w:t xml:space="preserve"> </w:t>
      </w:r>
      <w:r>
        <w:t>ili prilagođavanja doze leka Cineset.</w:t>
      </w:r>
    </w:p>
    <w:p w14:paraId="5747F8C7" w14:textId="77777777" w:rsidR="00712CF5" w:rsidRDefault="00787E6B">
      <w:pPr>
        <w:pStyle w:val="BodyText"/>
        <w:spacing w:before="252"/>
        <w:ind w:right="138"/>
        <w:jc w:val="both"/>
      </w:pPr>
      <w:r>
        <w:t>Kada je postignuta doza održavanja, preporučuje se nedeljno kontrolisanje koncentracije kalcijuma u</w:t>
      </w:r>
      <w:r>
        <w:rPr>
          <w:spacing w:val="80"/>
        </w:rPr>
        <w:t xml:space="preserve"> </w:t>
      </w:r>
      <w:r>
        <w:t>serumu. Vrednost koncentracije kalcijuma u serumu kod pedijatrijskih pacijenata potrebno je održavati</w:t>
      </w:r>
      <w:r>
        <w:rPr>
          <w:spacing w:val="40"/>
        </w:rPr>
        <w:t xml:space="preserve"> </w:t>
      </w:r>
      <w:r>
        <w:t>unutar raspona referentnih vrednosti. Ukoliko se koncentracija kalcijuma u serumu spusti ispod granica referentnih vrednosti ili nastupe simptomi hipokalcemije, potrebno je sprovesti odgovarajuće mere prilagođavanja doze kako je prikazano u Tabeli 2:</w:t>
      </w:r>
    </w:p>
    <w:p w14:paraId="5747F8C8" w14:textId="77777777" w:rsidR="00712CF5" w:rsidRDefault="00712CF5">
      <w:pPr>
        <w:pStyle w:val="BodyText"/>
        <w:spacing w:before="4"/>
        <w:ind w:left="0"/>
      </w:pPr>
    </w:p>
    <w:p w14:paraId="5747F8C9" w14:textId="77777777" w:rsidR="00712CF5" w:rsidRDefault="00787E6B">
      <w:pPr>
        <w:pStyle w:val="Heading2"/>
        <w:spacing w:after="6"/>
        <w:ind w:left="1" w:right="2"/>
        <w:jc w:val="center"/>
      </w:pPr>
      <w:r>
        <w:t>Tabela</w:t>
      </w:r>
      <w:r>
        <w:rPr>
          <w:spacing w:val="-8"/>
        </w:rPr>
        <w:t xml:space="preserve"> </w:t>
      </w:r>
      <w:r>
        <w:t>2.</w:t>
      </w:r>
      <w:r>
        <w:rPr>
          <w:spacing w:val="-6"/>
        </w:rPr>
        <w:t xml:space="preserve"> </w:t>
      </w:r>
      <w:r>
        <w:t>Prilagođavanje</w:t>
      </w:r>
      <w:r>
        <w:rPr>
          <w:spacing w:val="-5"/>
        </w:rPr>
        <w:t xml:space="preserve"> </w:t>
      </w:r>
      <w:r>
        <w:t>doze</w:t>
      </w:r>
      <w:r>
        <w:rPr>
          <w:spacing w:val="1"/>
        </w:rPr>
        <w:t xml:space="preserve"> </w:t>
      </w:r>
      <w:r>
        <w:t>kod</w:t>
      </w:r>
      <w:r>
        <w:rPr>
          <w:spacing w:val="-6"/>
        </w:rPr>
        <w:t xml:space="preserve"> </w:t>
      </w:r>
      <w:r>
        <w:t>pedijatrijskih</w:t>
      </w:r>
      <w:r>
        <w:rPr>
          <w:spacing w:val="1"/>
        </w:rPr>
        <w:t xml:space="preserve"> </w:t>
      </w:r>
      <w:r>
        <w:t>pacijenata</w:t>
      </w:r>
      <w:r>
        <w:rPr>
          <w:spacing w:val="-3"/>
        </w:rPr>
        <w:t xml:space="preserve"> </w:t>
      </w:r>
      <w:r>
        <w:t>uzrasta</w:t>
      </w:r>
      <w:r>
        <w:rPr>
          <w:spacing w:val="-4"/>
        </w:rPr>
        <w:t xml:space="preserve"> </w:t>
      </w:r>
      <w:r>
        <w:t>od</w:t>
      </w:r>
      <w:r>
        <w:rPr>
          <w:spacing w:val="-4"/>
        </w:rPr>
        <w:t xml:space="preserve"> </w:t>
      </w:r>
      <w:r>
        <w:t>≥</w:t>
      </w:r>
      <w:r>
        <w:rPr>
          <w:spacing w:val="-6"/>
        </w:rPr>
        <w:t xml:space="preserve"> </w:t>
      </w:r>
      <w:r>
        <w:t>3</w:t>
      </w:r>
      <w:r>
        <w:rPr>
          <w:spacing w:val="-5"/>
        </w:rPr>
        <w:t xml:space="preserve"> </w:t>
      </w:r>
      <w:r>
        <w:t>do</w:t>
      </w:r>
      <w:r>
        <w:rPr>
          <w:spacing w:val="-6"/>
        </w:rPr>
        <w:t xml:space="preserve"> </w:t>
      </w:r>
      <w:r>
        <w:t>&lt;</w:t>
      </w:r>
      <w:r>
        <w:rPr>
          <w:spacing w:val="-6"/>
        </w:rPr>
        <w:t xml:space="preserve"> </w:t>
      </w:r>
      <w:r>
        <w:t>18</w:t>
      </w:r>
      <w:r>
        <w:rPr>
          <w:spacing w:val="-5"/>
        </w:rPr>
        <w:t xml:space="preserve"> </w:t>
      </w:r>
      <w:r>
        <w:rPr>
          <w:spacing w:val="-2"/>
        </w:rPr>
        <w:t>godina</w:t>
      </w: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4819"/>
      </w:tblGrid>
      <w:tr w:rsidR="00712CF5" w14:paraId="5747F8CD" w14:textId="77777777">
        <w:trPr>
          <w:trHeight w:val="503"/>
        </w:trPr>
        <w:tc>
          <w:tcPr>
            <w:tcW w:w="4819" w:type="dxa"/>
          </w:tcPr>
          <w:p w14:paraId="5747F8CA" w14:textId="77777777" w:rsidR="00712CF5" w:rsidRDefault="00787E6B">
            <w:pPr>
              <w:pStyle w:val="TableParagraph"/>
              <w:spacing w:line="249" w:lineRule="exact"/>
              <w:ind w:left="110"/>
              <w:rPr>
                <w:b/>
              </w:rPr>
            </w:pPr>
            <w:r>
              <w:rPr>
                <w:b/>
              </w:rPr>
              <w:t>Korigovana</w:t>
            </w:r>
            <w:r>
              <w:rPr>
                <w:b/>
                <w:spacing w:val="14"/>
              </w:rPr>
              <w:t xml:space="preserve"> </w:t>
            </w:r>
            <w:r>
              <w:rPr>
                <w:b/>
              </w:rPr>
              <w:t>vrednost</w:t>
            </w:r>
            <w:r>
              <w:rPr>
                <w:b/>
                <w:spacing w:val="20"/>
              </w:rPr>
              <w:t xml:space="preserve"> </w:t>
            </w:r>
            <w:r>
              <w:rPr>
                <w:b/>
              </w:rPr>
              <w:t>koncentracije</w:t>
            </w:r>
            <w:r>
              <w:rPr>
                <w:b/>
                <w:spacing w:val="21"/>
              </w:rPr>
              <w:t xml:space="preserve"> </w:t>
            </w:r>
            <w:r>
              <w:rPr>
                <w:b/>
              </w:rPr>
              <w:t>kalcijuma</w:t>
            </w:r>
            <w:r>
              <w:rPr>
                <w:b/>
                <w:spacing w:val="25"/>
              </w:rPr>
              <w:t xml:space="preserve"> </w:t>
            </w:r>
            <w:r>
              <w:rPr>
                <w:b/>
                <w:spacing w:val="-10"/>
              </w:rPr>
              <w:t>u</w:t>
            </w:r>
          </w:p>
          <w:p w14:paraId="5747F8CB" w14:textId="77777777" w:rsidR="00712CF5" w:rsidRDefault="00787E6B">
            <w:pPr>
              <w:pStyle w:val="TableParagraph"/>
              <w:spacing w:before="1" w:line="233" w:lineRule="exact"/>
              <w:ind w:left="110"/>
              <w:rPr>
                <w:b/>
              </w:rPr>
            </w:pPr>
            <w:r>
              <w:rPr>
                <w:b/>
              </w:rPr>
              <w:t>serumu</w:t>
            </w:r>
            <w:r>
              <w:rPr>
                <w:b/>
                <w:spacing w:val="-8"/>
              </w:rPr>
              <w:t xml:space="preserve"> </w:t>
            </w:r>
            <w:r>
              <w:rPr>
                <w:b/>
              </w:rPr>
              <w:t>ili</w:t>
            </w:r>
            <w:r>
              <w:rPr>
                <w:b/>
                <w:spacing w:val="-6"/>
              </w:rPr>
              <w:t xml:space="preserve"> </w:t>
            </w:r>
            <w:r>
              <w:rPr>
                <w:b/>
              </w:rPr>
              <w:t>klinički</w:t>
            </w:r>
            <w:r>
              <w:rPr>
                <w:b/>
                <w:spacing w:val="-6"/>
              </w:rPr>
              <w:t xml:space="preserve"> </w:t>
            </w:r>
            <w:r>
              <w:rPr>
                <w:b/>
              </w:rPr>
              <w:t>simptomi</w:t>
            </w:r>
            <w:r>
              <w:rPr>
                <w:b/>
                <w:spacing w:val="-2"/>
              </w:rPr>
              <w:t xml:space="preserve"> hipokalcemije</w:t>
            </w:r>
          </w:p>
        </w:tc>
        <w:tc>
          <w:tcPr>
            <w:tcW w:w="4819" w:type="dxa"/>
          </w:tcPr>
          <w:p w14:paraId="5747F8CC" w14:textId="77777777" w:rsidR="00712CF5" w:rsidRDefault="00787E6B">
            <w:pPr>
              <w:pStyle w:val="TableParagraph"/>
              <w:spacing w:line="249" w:lineRule="exact"/>
              <w:ind w:left="110"/>
              <w:rPr>
                <w:b/>
              </w:rPr>
            </w:pPr>
            <w:r>
              <w:rPr>
                <w:b/>
              </w:rPr>
              <w:t>Preporuke</w:t>
            </w:r>
            <w:r>
              <w:rPr>
                <w:b/>
                <w:spacing w:val="-9"/>
              </w:rPr>
              <w:t xml:space="preserve"> </w:t>
            </w:r>
            <w:r>
              <w:rPr>
                <w:b/>
                <w:spacing w:val="-2"/>
              </w:rPr>
              <w:t>doziranja</w:t>
            </w:r>
          </w:p>
        </w:tc>
      </w:tr>
      <w:tr w:rsidR="00712CF5" w14:paraId="5747F8D2" w14:textId="77777777">
        <w:trPr>
          <w:trHeight w:val="1012"/>
        </w:trPr>
        <w:tc>
          <w:tcPr>
            <w:tcW w:w="4819" w:type="dxa"/>
          </w:tcPr>
          <w:p w14:paraId="5747F8CE" w14:textId="339C8F46" w:rsidR="00712CF5" w:rsidRDefault="00787E6B">
            <w:pPr>
              <w:pStyle w:val="TableParagraph"/>
              <w:spacing w:line="242" w:lineRule="auto"/>
              <w:ind w:left="110" w:right="93"/>
              <w:jc w:val="both"/>
            </w:pPr>
            <w:r>
              <w:t>Korigovana koncentracija kalcijuma u serumu je u nivou ili ispod donje granice referentnih vrednosti specifičnih za godine starost</w:t>
            </w:r>
            <w:r w:rsidR="00371A0E">
              <w:t>i</w:t>
            </w:r>
          </w:p>
          <w:p w14:paraId="5747F8CF" w14:textId="77777777" w:rsidR="00712CF5" w:rsidRDefault="00787E6B">
            <w:pPr>
              <w:pStyle w:val="TableParagraph"/>
              <w:spacing w:line="233" w:lineRule="exact"/>
              <w:ind w:left="110"/>
              <w:rPr>
                <w:b/>
              </w:rPr>
            </w:pPr>
            <w:r>
              <w:rPr>
                <w:b/>
                <w:spacing w:val="-5"/>
              </w:rPr>
              <w:t>ili</w:t>
            </w:r>
          </w:p>
        </w:tc>
        <w:tc>
          <w:tcPr>
            <w:tcW w:w="4819" w:type="dxa"/>
          </w:tcPr>
          <w:p w14:paraId="5747F8D0" w14:textId="77777777" w:rsidR="00712CF5" w:rsidRDefault="00787E6B">
            <w:pPr>
              <w:pStyle w:val="TableParagraph"/>
              <w:ind w:left="110"/>
            </w:pPr>
            <w:r>
              <w:t>Prekinite</w:t>
            </w:r>
            <w:r>
              <w:rPr>
                <w:spacing w:val="-8"/>
              </w:rPr>
              <w:t xml:space="preserve"> </w:t>
            </w:r>
            <w:r>
              <w:t>lečenje</w:t>
            </w:r>
            <w:r>
              <w:rPr>
                <w:spacing w:val="-8"/>
              </w:rPr>
              <w:t xml:space="preserve"> </w:t>
            </w:r>
            <w:r>
              <w:t>lekom</w:t>
            </w:r>
            <w:r>
              <w:rPr>
                <w:spacing w:val="-5"/>
              </w:rPr>
              <w:t xml:space="preserve"> </w:t>
            </w:r>
            <w:r>
              <w:rPr>
                <w:spacing w:val="-2"/>
              </w:rPr>
              <w:t>Cineset.*</w:t>
            </w:r>
          </w:p>
          <w:p w14:paraId="5747F8D1" w14:textId="77777777" w:rsidR="00712CF5" w:rsidRDefault="00787E6B">
            <w:pPr>
              <w:pStyle w:val="TableParagraph"/>
              <w:spacing w:before="242" w:line="250" w:lineRule="atLeast"/>
              <w:ind w:left="110"/>
            </w:pPr>
            <w:r>
              <w:t>Primenite</w:t>
            </w:r>
            <w:r>
              <w:rPr>
                <w:spacing w:val="40"/>
              </w:rPr>
              <w:t xml:space="preserve"> </w:t>
            </w:r>
            <w:r>
              <w:t>zamene</w:t>
            </w:r>
            <w:r>
              <w:rPr>
                <w:spacing w:val="40"/>
              </w:rPr>
              <w:t xml:space="preserve"> </w:t>
            </w:r>
            <w:r>
              <w:t>za</w:t>
            </w:r>
            <w:r>
              <w:rPr>
                <w:spacing w:val="40"/>
              </w:rPr>
              <w:t xml:space="preserve"> </w:t>
            </w:r>
            <w:r>
              <w:t>kalcijum,</w:t>
            </w:r>
            <w:r>
              <w:rPr>
                <w:spacing w:val="40"/>
              </w:rPr>
              <w:t xml:space="preserve"> </w:t>
            </w:r>
            <w:r>
              <w:t>jedinjenja</w:t>
            </w:r>
            <w:r>
              <w:rPr>
                <w:spacing w:val="40"/>
              </w:rPr>
              <w:t xml:space="preserve"> </w:t>
            </w:r>
            <w:r>
              <w:t>fosfata koji</w:t>
            </w:r>
            <w:r>
              <w:rPr>
                <w:spacing w:val="-2"/>
              </w:rPr>
              <w:t xml:space="preserve"> </w:t>
            </w:r>
            <w:r>
              <w:t>sadrže</w:t>
            </w:r>
            <w:r>
              <w:rPr>
                <w:spacing w:val="-2"/>
              </w:rPr>
              <w:t xml:space="preserve"> </w:t>
            </w:r>
            <w:r>
              <w:t>kalcijum</w:t>
            </w:r>
            <w:r>
              <w:rPr>
                <w:spacing w:val="1"/>
              </w:rPr>
              <w:t xml:space="preserve"> </w:t>
            </w:r>
            <w:r>
              <w:t>i/ili</w:t>
            </w:r>
            <w:r>
              <w:rPr>
                <w:spacing w:val="-2"/>
              </w:rPr>
              <w:t xml:space="preserve"> </w:t>
            </w:r>
            <w:r>
              <w:t>sterole</w:t>
            </w:r>
            <w:r>
              <w:rPr>
                <w:spacing w:val="-1"/>
              </w:rPr>
              <w:t xml:space="preserve"> </w:t>
            </w:r>
            <w:r>
              <w:t>vitamina</w:t>
            </w:r>
            <w:r>
              <w:rPr>
                <w:spacing w:val="-2"/>
              </w:rPr>
              <w:t xml:space="preserve"> </w:t>
            </w:r>
            <w:r>
              <w:t>D,</w:t>
            </w:r>
            <w:r>
              <w:rPr>
                <w:spacing w:val="-2"/>
              </w:rPr>
              <w:t xml:space="preserve"> </w:t>
            </w:r>
            <w:r>
              <w:t>kako</w:t>
            </w:r>
            <w:r>
              <w:rPr>
                <w:spacing w:val="-1"/>
              </w:rPr>
              <w:t xml:space="preserve"> </w:t>
            </w:r>
            <w:r>
              <w:rPr>
                <w:spacing w:val="-5"/>
              </w:rPr>
              <w:t>je</w:t>
            </w:r>
          </w:p>
        </w:tc>
      </w:tr>
    </w:tbl>
    <w:p w14:paraId="5747F8D3" w14:textId="77777777" w:rsidR="00712CF5" w:rsidRDefault="00712CF5">
      <w:pPr>
        <w:pStyle w:val="TableParagraph"/>
        <w:spacing w:line="250" w:lineRule="atLeast"/>
        <w:sectPr w:rsidR="00712CF5">
          <w:pgSz w:w="11910" w:h="16840"/>
          <w:pgMar w:top="1060" w:right="992" w:bottom="1804" w:left="992" w:header="0" w:footer="1311" w:gutter="0"/>
          <w:cols w:space="720"/>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4819"/>
      </w:tblGrid>
      <w:tr w:rsidR="00712CF5" w14:paraId="5747F8D7" w14:textId="77777777">
        <w:trPr>
          <w:trHeight w:val="503"/>
        </w:trPr>
        <w:tc>
          <w:tcPr>
            <w:tcW w:w="4819" w:type="dxa"/>
          </w:tcPr>
          <w:p w14:paraId="5747F8D4" w14:textId="77777777" w:rsidR="00712CF5" w:rsidRDefault="00787E6B">
            <w:pPr>
              <w:pStyle w:val="TableParagraph"/>
              <w:spacing w:line="242" w:lineRule="exact"/>
              <w:ind w:left="110"/>
            </w:pPr>
            <w:r>
              <w:lastRenderedPageBreak/>
              <w:t>ako</w:t>
            </w:r>
            <w:r>
              <w:rPr>
                <w:spacing w:val="15"/>
              </w:rPr>
              <w:t xml:space="preserve"> </w:t>
            </w:r>
            <w:r>
              <w:t>nastupe</w:t>
            </w:r>
            <w:r>
              <w:rPr>
                <w:spacing w:val="12"/>
              </w:rPr>
              <w:t xml:space="preserve"> </w:t>
            </w:r>
            <w:r>
              <w:t>simptomi</w:t>
            </w:r>
            <w:r>
              <w:rPr>
                <w:spacing w:val="17"/>
              </w:rPr>
              <w:t xml:space="preserve"> </w:t>
            </w:r>
            <w:r>
              <w:t>hipokalcemije,</w:t>
            </w:r>
            <w:r>
              <w:rPr>
                <w:spacing w:val="16"/>
              </w:rPr>
              <w:t xml:space="preserve"> </w:t>
            </w:r>
            <w:r>
              <w:t>nezavisno</w:t>
            </w:r>
            <w:r>
              <w:rPr>
                <w:spacing w:val="16"/>
              </w:rPr>
              <w:t xml:space="preserve"> </w:t>
            </w:r>
            <w:r>
              <w:rPr>
                <w:spacing w:val="-5"/>
              </w:rPr>
              <w:t>od</w:t>
            </w:r>
          </w:p>
          <w:p w14:paraId="5747F8D5" w14:textId="77777777" w:rsidR="00712CF5" w:rsidRDefault="00787E6B">
            <w:pPr>
              <w:pStyle w:val="TableParagraph"/>
              <w:spacing w:line="241" w:lineRule="exact"/>
              <w:ind w:left="110"/>
            </w:pPr>
            <w:r>
              <w:t>koncentracije</w:t>
            </w:r>
            <w:r>
              <w:rPr>
                <w:spacing w:val="-7"/>
              </w:rPr>
              <w:t xml:space="preserve"> </w:t>
            </w:r>
            <w:r>
              <w:rPr>
                <w:spacing w:val="-2"/>
              </w:rPr>
              <w:t>kalcijuma.</w:t>
            </w:r>
          </w:p>
        </w:tc>
        <w:tc>
          <w:tcPr>
            <w:tcW w:w="4819" w:type="dxa"/>
          </w:tcPr>
          <w:p w14:paraId="5747F8D6" w14:textId="77777777" w:rsidR="00712CF5" w:rsidRDefault="00787E6B">
            <w:pPr>
              <w:pStyle w:val="TableParagraph"/>
              <w:ind w:left="110"/>
            </w:pPr>
            <w:r>
              <w:t>klinički</w:t>
            </w:r>
            <w:r>
              <w:rPr>
                <w:spacing w:val="-8"/>
              </w:rPr>
              <w:t xml:space="preserve"> </w:t>
            </w:r>
            <w:r>
              <w:rPr>
                <w:spacing w:val="-2"/>
              </w:rPr>
              <w:t>indikovano.</w:t>
            </w:r>
          </w:p>
        </w:tc>
      </w:tr>
      <w:tr w:rsidR="00712CF5" w14:paraId="5747F8DD" w14:textId="77777777">
        <w:trPr>
          <w:trHeight w:val="1516"/>
        </w:trPr>
        <w:tc>
          <w:tcPr>
            <w:tcW w:w="4819" w:type="dxa"/>
          </w:tcPr>
          <w:p w14:paraId="5747F8D8" w14:textId="77777777" w:rsidR="00712CF5" w:rsidRDefault="00787E6B">
            <w:pPr>
              <w:pStyle w:val="TableParagraph"/>
              <w:spacing w:line="242" w:lineRule="auto"/>
              <w:ind w:left="110" w:right="93"/>
              <w:jc w:val="both"/>
            </w:pPr>
            <w:r>
              <w:t>Korigovana koncentracija kalcijuma u serumu je iznad donje granice referentnih vrednosti</w:t>
            </w:r>
            <w:r>
              <w:rPr>
                <w:spacing w:val="40"/>
              </w:rPr>
              <w:t xml:space="preserve"> </w:t>
            </w:r>
            <w:r>
              <w:t>specifičnih za godine starosti</w:t>
            </w:r>
          </w:p>
          <w:p w14:paraId="5747F8D9" w14:textId="77777777" w:rsidR="00712CF5" w:rsidRDefault="00787E6B">
            <w:pPr>
              <w:pStyle w:val="TableParagraph"/>
              <w:spacing w:line="248" w:lineRule="exact"/>
              <w:ind w:left="110"/>
              <w:rPr>
                <w:b/>
              </w:rPr>
            </w:pPr>
            <w:r>
              <w:rPr>
                <w:b/>
                <w:spacing w:val="-10"/>
              </w:rPr>
              <w:t>i</w:t>
            </w:r>
          </w:p>
          <w:p w14:paraId="5747F8DA" w14:textId="77777777" w:rsidR="00712CF5" w:rsidRDefault="00787E6B">
            <w:pPr>
              <w:pStyle w:val="TableParagraph"/>
              <w:spacing w:line="251" w:lineRule="exact"/>
              <w:ind w:left="110"/>
            </w:pPr>
            <w:r>
              <w:t>Simptomi</w:t>
            </w:r>
            <w:r>
              <w:rPr>
                <w:spacing w:val="-8"/>
              </w:rPr>
              <w:t xml:space="preserve"> </w:t>
            </w:r>
            <w:r>
              <w:t>hipokalcemije</w:t>
            </w:r>
            <w:r>
              <w:rPr>
                <w:spacing w:val="-7"/>
              </w:rPr>
              <w:t xml:space="preserve"> </w:t>
            </w:r>
            <w:r>
              <w:t>su</w:t>
            </w:r>
            <w:r>
              <w:rPr>
                <w:spacing w:val="-7"/>
              </w:rPr>
              <w:t xml:space="preserve"> </w:t>
            </w:r>
            <w:r>
              <w:t>se</w:t>
            </w:r>
            <w:r>
              <w:rPr>
                <w:spacing w:val="-7"/>
              </w:rPr>
              <w:t xml:space="preserve"> </w:t>
            </w:r>
            <w:r>
              <w:rPr>
                <w:spacing w:val="-2"/>
              </w:rPr>
              <w:t>povukli.</w:t>
            </w:r>
          </w:p>
        </w:tc>
        <w:tc>
          <w:tcPr>
            <w:tcW w:w="4819" w:type="dxa"/>
          </w:tcPr>
          <w:p w14:paraId="5747F8DB" w14:textId="77777777" w:rsidR="00712CF5" w:rsidRDefault="00787E6B">
            <w:pPr>
              <w:pStyle w:val="TableParagraph"/>
              <w:spacing w:line="242" w:lineRule="auto"/>
              <w:ind w:left="110" w:right="93"/>
              <w:jc w:val="both"/>
            </w:pPr>
            <w:r>
              <w:t>Započnite lečenje sledećom nižom dozom. Ako je lečenje lekom Cineset bilo prekinuto više od 14 dana, započnite preporučenom početnom dozom.</w:t>
            </w:r>
          </w:p>
          <w:p w14:paraId="5747F8DC" w14:textId="77777777" w:rsidR="00712CF5" w:rsidRDefault="00787E6B">
            <w:pPr>
              <w:pStyle w:val="TableParagraph"/>
              <w:spacing w:before="224" w:line="250" w:lineRule="atLeast"/>
              <w:ind w:left="110" w:right="93"/>
              <w:jc w:val="both"/>
            </w:pPr>
            <w:r>
              <w:t>Ako</w:t>
            </w:r>
            <w:r>
              <w:rPr>
                <w:spacing w:val="-2"/>
              </w:rPr>
              <w:t xml:space="preserve"> </w:t>
            </w:r>
            <w:r>
              <w:t>je pacijent primao najnižu</w:t>
            </w:r>
            <w:r>
              <w:rPr>
                <w:spacing w:val="-1"/>
              </w:rPr>
              <w:t xml:space="preserve"> </w:t>
            </w:r>
            <w:r>
              <w:t>dozu</w:t>
            </w:r>
            <w:r>
              <w:rPr>
                <w:spacing w:val="-1"/>
              </w:rPr>
              <w:t xml:space="preserve"> </w:t>
            </w:r>
            <w:r>
              <w:t>(1</w:t>
            </w:r>
            <w:r>
              <w:rPr>
                <w:spacing w:val="-1"/>
              </w:rPr>
              <w:t xml:space="preserve"> </w:t>
            </w:r>
            <w:r>
              <w:t>mg/dan)</w:t>
            </w:r>
            <w:r>
              <w:rPr>
                <w:spacing w:val="-1"/>
              </w:rPr>
              <w:t xml:space="preserve"> </w:t>
            </w:r>
            <w:r>
              <w:t>pre prekida</w:t>
            </w:r>
            <w:r>
              <w:rPr>
                <w:spacing w:val="-1"/>
              </w:rPr>
              <w:t xml:space="preserve"> </w:t>
            </w:r>
            <w:r>
              <w:t>lečenja,</w:t>
            </w:r>
            <w:r>
              <w:rPr>
                <w:spacing w:val="-1"/>
              </w:rPr>
              <w:t xml:space="preserve"> </w:t>
            </w:r>
            <w:r>
              <w:t>započnite</w:t>
            </w:r>
            <w:r>
              <w:rPr>
                <w:spacing w:val="-1"/>
              </w:rPr>
              <w:t xml:space="preserve"> </w:t>
            </w:r>
            <w:r>
              <w:t>istom</w:t>
            </w:r>
            <w:r>
              <w:rPr>
                <w:spacing w:val="-1"/>
              </w:rPr>
              <w:t xml:space="preserve"> </w:t>
            </w:r>
            <w:r>
              <w:t>dozom</w:t>
            </w:r>
            <w:r>
              <w:rPr>
                <w:spacing w:val="-1"/>
              </w:rPr>
              <w:t xml:space="preserve"> </w:t>
            </w:r>
            <w:r>
              <w:t>(1</w:t>
            </w:r>
            <w:r>
              <w:rPr>
                <w:spacing w:val="-1"/>
              </w:rPr>
              <w:t xml:space="preserve"> </w:t>
            </w:r>
            <w:r>
              <w:t>mg/dan).</w:t>
            </w:r>
          </w:p>
        </w:tc>
      </w:tr>
      <w:tr w:rsidR="00712CF5" w14:paraId="5747F8E0" w14:textId="77777777">
        <w:trPr>
          <w:trHeight w:val="508"/>
        </w:trPr>
        <w:tc>
          <w:tcPr>
            <w:tcW w:w="9638" w:type="dxa"/>
            <w:gridSpan w:val="2"/>
          </w:tcPr>
          <w:p w14:paraId="5747F8DE" w14:textId="77777777" w:rsidR="00712CF5" w:rsidRDefault="00787E6B">
            <w:pPr>
              <w:pStyle w:val="TableParagraph"/>
              <w:ind w:left="110"/>
            </w:pPr>
            <w:r>
              <w:t>*</w:t>
            </w:r>
            <w:r>
              <w:rPr>
                <w:spacing w:val="12"/>
              </w:rPr>
              <w:t xml:space="preserve"> </w:t>
            </w:r>
            <w:r>
              <w:t>Ukoliko</w:t>
            </w:r>
            <w:r>
              <w:rPr>
                <w:spacing w:val="11"/>
              </w:rPr>
              <w:t xml:space="preserve"> </w:t>
            </w:r>
            <w:r>
              <w:t>je</w:t>
            </w:r>
            <w:r>
              <w:rPr>
                <w:spacing w:val="11"/>
              </w:rPr>
              <w:t xml:space="preserve"> </w:t>
            </w:r>
            <w:r>
              <w:t>terapija</w:t>
            </w:r>
            <w:r>
              <w:rPr>
                <w:spacing w:val="14"/>
              </w:rPr>
              <w:t xml:space="preserve"> </w:t>
            </w:r>
            <w:r>
              <w:t>prekinuta,</w:t>
            </w:r>
            <w:r>
              <w:rPr>
                <w:spacing w:val="14"/>
              </w:rPr>
              <w:t xml:space="preserve"> </w:t>
            </w:r>
            <w:r>
              <w:t>korigovanu</w:t>
            </w:r>
            <w:r>
              <w:rPr>
                <w:spacing w:val="15"/>
              </w:rPr>
              <w:t xml:space="preserve"> </w:t>
            </w:r>
            <w:r>
              <w:t>koncentraciju</w:t>
            </w:r>
            <w:r>
              <w:rPr>
                <w:spacing w:val="16"/>
              </w:rPr>
              <w:t xml:space="preserve"> </w:t>
            </w:r>
            <w:r>
              <w:t>kalcijuma</w:t>
            </w:r>
            <w:r>
              <w:rPr>
                <w:spacing w:val="14"/>
              </w:rPr>
              <w:t xml:space="preserve"> </w:t>
            </w:r>
            <w:r>
              <w:t>u</w:t>
            </w:r>
            <w:r>
              <w:rPr>
                <w:spacing w:val="12"/>
              </w:rPr>
              <w:t xml:space="preserve"> </w:t>
            </w:r>
            <w:r>
              <w:t>serumu</w:t>
            </w:r>
            <w:r>
              <w:rPr>
                <w:spacing w:val="12"/>
              </w:rPr>
              <w:t xml:space="preserve"> </w:t>
            </w:r>
            <w:r>
              <w:t>treba</w:t>
            </w:r>
            <w:r>
              <w:rPr>
                <w:spacing w:val="16"/>
              </w:rPr>
              <w:t xml:space="preserve"> </w:t>
            </w:r>
            <w:r>
              <w:t>meriti</w:t>
            </w:r>
            <w:r>
              <w:rPr>
                <w:spacing w:val="13"/>
              </w:rPr>
              <w:t xml:space="preserve"> </w:t>
            </w:r>
            <w:r>
              <w:t>unutar</w:t>
            </w:r>
            <w:r>
              <w:rPr>
                <w:spacing w:val="12"/>
              </w:rPr>
              <w:t xml:space="preserve"> </w:t>
            </w:r>
            <w:r>
              <w:t>5</w:t>
            </w:r>
            <w:r>
              <w:rPr>
                <w:spacing w:val="12"/>
              </w:rPr>
              <w:t xml:space="preserve"> </w:t>
            </w:r>
            <w:r>
              <w:t>do</w:t>
            </w:r>
            <w:r>
              <w:rPr>
                <w:spacing w:val="10"/>
              </w:rPr>
              <w:t xml:space="preserve"> </w:t>
            </w:r>
            <w:r>
              <w:rPr>
                <w:spacing w:val="-10"/>
              </w:rPr>
              <w:t>7</w:t>
            </w:r>
          </w:p>
          <w:p w14:paraId="5747F8DF" w14:textId="77777777" w:rsidR="00712CF5" w:rsidRDefault="00787E6B">
            <w:pPr>
              <w:pStyle w:val="TableParagraph"/>
              <w:spacing w:before="1" w:line="243" w:lineRule="exact"/>
              <w:ind w:left="110"/>
            </w:pPr>
            <w:r>
              <w:rPr>
                <w:spacing w:val="-2"/>
              </w:rPr>
              <w:t>dana.</w:t>
            </w:r>
          </w:p>
        </w:tc>
      </w:tr>
    </w:tbl>
    <w:p w14:paraId="5747F8E1" w14:textId="77777777" w:rsidR="00712CF5" w:rsidRDefault="00712CF5">
      <w:pPr>
        <w:pStyle w:val="BodyText"/>
        <w:spacing w:before="9"/>
        <w:ind w:left="0"/>
        <w:rPr>
          <w:b/>
        </w:rPr>
      </w:pPr>
    </w:p>
    <w:p w14:paraId="5747F8E2" w14:textId="77777777" w:rsidR="00712CF5" w:rsidRDefault="00787E6B">
      <w:pPr>
        <w:pStyle w:val="BodyText"/>
        <w:tabs>
          <w:tab w:val="left" w:pos="1379"/>
          <w:tab w:val="left" w:pos="1652"/>
          <w:tab w:val="left" w:pos="2751"/>
          <w:tab w:val="left" w:pos="3942"/>
          <w:tab w:val="left" w:pos="4484"/>
          <w:tab w:val="left" w:pos="5103"/>
          <w:tab w:val="left" w:pos="5847"/>
          <w:tab w:val="left" w:pos="6275"/>
          <w:tab w:val="left" w:pos="6601"/>
          <w:tab w:val="left" w:pos="7407"/>
          <w:tab w:val="left" w:pos="7815"/>
          <w:tab w:val="left" w:pos="8651"/>
        </w:tabs>
        <w:spacing w:line="237" w:lineRule="auto"/>
        <w:ind w:right="140"/>
      </w:pPr>
      <w:r>
        <w:rPr>
          <w:spacing w:val="-2"/>
        </w:rPr>
        <w:t>Bezbednost</w:t>
      </w:r>
      <w:r>
        <w:tab/>
      </w:r>
      <w:r>
        <w:rPr>
          <w:spacing w:val="-10"/>
        </w:rPr>
        <w:t>i</w:t>
      </w:r>
      <w:r>
        <w:tab/>
      </w:r>
      <w:r>
        <w:rPr>
          <w:spacing w:val="-2"/>
        </w:rPr>
        <w:t>efikasnost</w:t>
      </w:r>
      <w:r>
        <w:tab/>
      </w:r>
      <w:r>
        <w:rPr>
          <w:spacing w:val="-2"/>
        </w:rPr>
        <w:t>sinakalceta</w:t>
      </w:r>
      <w:r>
        <w:tab/>
      </w:r>
      <w:r>
        <w:rPr>
          <w:spacing w:val="-4"/>
        </w:rPr>
        <w:t>kod</w:t>
      </w:r>
      <w:r>
        <w:tab/>
      </w:r>
      <w:r>
        <w:rPr>
          <w:spacing w:val="-4"/>
        </w:rPr>
        <w:t>dece</w:t>
      </w:r>
      <w:r>
        <w:tab/>
      </w:r>
      <w:r>
        <w:rPr>
          <w:spacing w:val="-2"/>
        </w:rPr>
        <w:t>mlađe</w:t>
      </w:r>
      <w:r>
        <w:tab/>
      </w:r>
      <w:r>
        <w:rPr>
          <w:spacing w:val="-6"/>
        </w:rPr>
        <w:t>od</w:t>
      </w:r>
      <w:r>
        <w:tab/>
      </w:r>
      <w:r>
        <w:rPr>
          <w:spacing w:val="-10"/>
        </w:rPr>
        <w:t>3</w:t>
      </w:r>
      <w:r>
        <w:tab/>
      </w:r>
      <w:r>
        <w:rPr>
          <w:spacing w:val="-2"/>
        </w:rPr>
        <w:t>godine</w:t>
      </w:r>
      <w:r>
        <w:tab/>
      </w:r>
      <w:r>
        <w:rPr>
          <w:spacing w:val="-6"/>
        </w:rPr>
        <w:t>za</w:t>
      </w:r>
      <w:r>
        <w:tab/>
      </w:r>
      <w:r>
        <w:rPr>
          <w:spacing w:val="-2"/>
        </w:rPr>
        <w:t>lečenje</w:t>
      </w:r>
      <w:r>
        <w:tab/>
      </w:r>
      <w:r>
        <w:rPr>
          <w:spacing w:val="-2"/>
        </w:rPr>
        <w:t xml:space="preserve">sekundarnog </w:t>
      </w:r>
      <w:r>
        <w:t>hiperparatireoidizma nisu još ustanovljene. Nema dostupnih podataka.</w:t>
      </w:r>
    </w:p>
    <w:p w14:paraId="5747F8E3" w14:textId="77777777" w:rsidR="00712CF5" w:rsidRDefault="00712CF5">
      <w:pPr>
        <w:pStyle w:val="BodyText"/>
        <w:spacing w:before="2"/>
        <w:ind w:left="0"/>
      </w:pPr>
    </w:p>
    <w:p w14:paraId="5747F8E4" w14:textId="77777777" w:rsidR="00712CF5" w:rsidRDefault="00787E6B">
      <w:pPr>
        <w:pStyle w:val="BodyText"/>
        <w:spacing w:before="1"/>
      </w:pPr>
      <w:r>
        <w:rPr>
          <w:u w:val="single"/>
        </w:rPr>
        <w:t>Prelazak</w:t>
      </w:r>
      <w:r>
        <w:rPr>
          <w:spacing w:val="-6"/>
          <w:u w:val="single"/>
        </w:rPr>
        <w:t xml:space="preserve"> </w:t>
      </w:r>
      <w:r>
        <w:rPr>
          <w:u w:val="single"/>
        </w:rPr>
        <w:t>sa etelkalcetida</w:t>
      </w:r>
      <w:r>
        <w:rPr>
          <w:spacing w:val="-7"/>
          <w:u w:val="single"/>
        </w:rPr>
        <w:t xml:space="preserve"> </w:t>
      </w:r>
      <w:r>
        <w:rPr>
          <w:u w:val="single"/>
        </w:rPr>
        <w:t>na</w:t>
      </w:r>
      <w:r>
        <w:rPr>
          <w:spacing w:val="-4"/>
          <w:u w:val="single"/>
        </w:rPr>
        <w:t xml:space="preserve"> </w:t>
      </w:r>
      <w:r>
        <w:rPr>
          <w:u w:val="single"/>
        </w:rPr>
        <w:t>lek</w:t>
      </w:r>
      <w:r>
        <w:rPr>
          <w:spacing w:val="-7"/>
          <w:u w:val="single"/>
        </w:rPr>
        <w:t xml:space="preserve"> </w:t>
      </w:r>
      <w:r>
        <w:rPr>
          <w:spacing w:val="-2"/>
          <w:u w:val="single"/>
        </w:rPr>
        <w:t>Cineset</w:t>
      </w:r>
    </w:p>
    <w:p w14:paraId="5747F8E5" w14:textId="77777777" w:rsidR="00712CF5" w:rsidRDefault="00787E6B">
      <w:pPr>
        <w:pStyle w:val="BodyText"/>
        <w:spacing w:before="251"/>
        <w:ind w:right="140"/>
        <w:jc w:val="both"/>
      </w:pPr>
      <w:r>
        <w:t>Prelazak sa etelkalcetida na lek Cineset i odgovarajuće razdoblje ispiranja leka nije ispitano kod pacijenata. Kod pacijenata koji su prestali uzimati etelkalcetid, ne sme se započeti terapija lekom Cineset sve dok se ne završe najmanje tri uzastopne hemodijalize, nakon čega treba izmeriti koncentraciju kalcijuma u serumu. Pošto se utvrdi da je koncentracija kalcijuma u serumu unutar normalnog raspona pre početka uzimanja leka Cineset (videti odeljke 4.4 i 4.8).</w:t>
      </w:r>
    </w:p>
    <w:p w14:paraId="5747F8E6" w14:textId="77777777" w:rsidR="00712CF5" w:rsidRDefault="00787E6B">
      <w:pPr>
        <w:spacing w:before="252"/>
        <w:ind w:left="140"/>
        <w:jc w:val="both"/>
        <w:rPr>
          <w:i/>
        </w:rPr>
      </w:pPr>
      <w:r>
        <w:rPr>
          <w:i/>
          <w:u w:val="single"/>
        </w:rPr>
        <w:t>Paratireoidni</w:t>
      </w:r>
      <w:r>
        <w:rPr>
          <w:i/>
          <w:spacing w:val="-8"/>
          <w:u w:val="single"/>
        </w:rPr>
        <w:t xml:space="preserve"> </w:t>
      </w:r>
      <w:r>
        <w:rPr>
          <w:i/>
          <w:u w:val="single"/>
        </w:rPr>
        <w:t>karcinom</w:t>
      </w:r>
      <w:r>
        <w:rPr>
          <w:i/>
          <w:spacing w:val="-8"/>
          <w:u w:val="single"/>
        </w:rPr>
        <w:t xml:space="preserve"> </w:t>
      </w:r>
      <w:r>
        <w:rPr>
          <w:i/>
          <w:u w:val="single"/>
        </w:rPr>
        <w:t>i</w:t>
      </w:r>
      <w:r>
        <w:rPr>
          <w:i/>
          <w:spacing w:val="-7"/>
          <w:u w:val="single"/>
        </w:rPr>
        <w:t xml:space="preserve"> </w:t>
      </w:r>
      <w:r>
        <w:rPr>
          <w:i/>
          <w:u w:val="single"/>
        </w:rPr>
        <w:t>primarni</w:t>
      </w:r>
      <w:r>
        <w:rPr>
          <w:i/>
          <w:spacing w:val="-7"/>
          <w:u w:val="single"/>
        </w:rPr>
        <w:t xml:space="preserve"> </w:t>
      </w:r>
      <w:r>
        <w:rPr>
          <w:i/>
          <w:spacing w:val="-2"/>
          <w:u w:val="single"/>
        </w:rPr>
        <w:t>hiperparatireoidizam</w:t>
      </w:r>
    </w:p>
    <w:p w14:paraId="5747F8E7" w14:textId="77777777" w:rsidR="00712CF5" w:rsidRDefault="00712CF5">
      <w:pPr>
        <w:pStyle w:val="BodyText"/>
        <w:spacing w:before="2"/>
        <w:ind w:left="0"/>
        <w:rPr>
          <w:i/>
        </w:rPr>
      </w:pPr>
    </w:p>
    <w:p w14:paraId="5747F8E8" w14:textId="77777777" w:rsidR="00712CF5" w:rsidRDefault="00787E6B">
      <w:pPr>
        <w:pStyle w:val="BodyText"/>
        <w:jc w:val="both"/>
      </w:pPr>
      <w:r>
        <w:t>Odrasli</w:t>
      </w:r>
      <w:r>
        <w:rPr>
          <w:spacing w:val="-4"/>
        </w:rPr>
        <w:t xml:space="preserve"> </w:t>
      </w:r>
      <w:r>
        <w:t>i</w:t>
      </w:r>
      <w:r>
        <w:rPr>
          <w:spacing w:val="-4"/>
        </w:rPr>
        <w:t xml:space="preserve"> </w:t>
      </w:r>
      <w:r>
        <w:t>starije</w:t>
      </w:r>
      <w:r>
        <w:rPr>
          <w:spacing w:val="-4"/>
        </w:rPr>
        <w:t xml:space="preserve"> </w:t>
      </w:r>
      <w:r>
        <w:t>osobe</w:t>
      </w:r>
      <w:r>
        <w:rPr>
          <w:spacing w:val="-4"/>
        </w:rPr>
        <w:t xml:space="preserve"> </w:t>
      </w:r>
      <w:r>
        <w:t>(&gt;</w:t>
      </w:r>
      <w:r>
        <w:rPr>
          <w:spacing w:val="-4"/>
        </w:rPr>
        <w:t xml:space="preserve"> </w:t>
      </w:r>
      <w:r>
        <w:t>65</w:t>
      </w:r>
      <w:r>
        <w:rPr>
          <w:spacing w:val="-4"/>
        </w:rPr>
        <w:t xml:space="preserve"> </w:t>
      </w:r>
      <w:r>
        <w:rPr>
          <w:spacing w:val="-2"/>
        </w:rPr>
        <w:t>godina)</w:t>
      </w:r>
    </w:p>
    <w:p w14:paraId="5747F8E9" w14:textId="77777777" w:rsidR="00712CF5" w:rsidRDefault="00787E6B">
      <w:pPr>
        <w:pStyle w:val="BodyText"/>
        <w:spacing w:before="251"/>
        <w:ind w:right="139"/>
        <w:jc w:val="both"/>
      </w:pPr>
      <w:r>
        <w:t>Preporučena</w:t>
      </w:r>
      <w:r>
        <w:rPr>
          <w:spacing w:val="-2"/>
        </w:rPr>
        <w:t xml:space="preserve"> </w:t>
      </w:r>
      <w:r>
        <w:t>početna</w:t>
      </w:r>
      <w:r>
        <w:rPr>
          <w:spacing w:val="-2"/>
        </w:rPr>
        <w:t xml:space="preserve"> </w:t>
      </w:r>
      <w:r>
        <w:t>doza leka</w:t>
      </w:r>
      <w:r>
        <w:rPr>
          <w:spacing w:val="-2"/>
        </w:rPr>
        <w:t xml:space="preserve"> </w:t>
      </w:r>
      <w:r>
        <w:t>Cineset za</w:t>
      </w:r>
      <w:r>
        <w:rPr>
          <w:spacing w:val="-1"/>
        </w:rPr>
        <w:t xml:space="preserve"> </w:t>
      </w:r>
      <w:r>
        <w:t>odrasle</w:t>
      </w:r>
      <w:r>
        <w:rPr>
          <w:spacing w:val="-1"/>
        </w:rPr>
        <w:t xml:space="preserve"> </w:t>
      </w:r>
      <w:r>
        <w:t>je</w:t>
      </w:r>
      <w:r>
        <w:rPr>
          <w:spacing w:val="-1"/>
        </w:rPr>
        <w:t xml:space="preserve"> </w:t>
      </w:r>
      <w:r>
        <w:t>30</w:t>
      </w:r>
      <w:r>
        <w:rPr>
          <w:spacing w:val="-1"/>
        </w:rPr>
        <w:t xml:space="preserve"> </w:t>
      </w:r>
      <w:r>
        <w:t>mg</w:t>
      </w:r>
      <w:r>
        <w:rPr>
          <w:spacing w:val="-1"/>
        </w:rPr>
        <w:t xml:space="preserve"> </w:t>
      </w:r>
      <w:r>
        <w:t>dva</w:t>
      </w:r>
      <w:r>
        <w:rPr>
          <w:spacing w:val="-1"/>
        </w:rPr>
        <w:t xml:space="preserve"> </w:t>
      </w:r>
      <w:r>
        <w:t>puta</w:t>
      </w:r>
      <w:r>
        <w:rPr>
          <w:spacing w:val="-1"/>
        </w:rPr>
        <w:t xml:space="preserve"> </w:t>
      </w:r>
      <w:r>
        <w:t>dnevno.</w:t>
      </w:r>
      <w:r>
        <w:rPr>
          <w:spacing w:val="-1"/>
        </w:rPr>
        <w:t xml:space="preserve"> </w:t>
      </w:r>
      <w:r>
        <w:t>Dozu leka</w:t>
      </w:r>
      <w:r>
        <w:rPr>
          <w:spacing w:val="-2"/>
        </w:rPr>
        <w:t xml:space="preserve"> </w:t>
      </w:r>
      <w:r>
        <w:t>Cineset treba</w:t>
      </w:r>
      <w:r>
        <w:rPr>
          <w:spacing w:val="-1"/>
        </w:rPr>
        <w:t xml:space="preserve"> </w:t>
      </w:r>
      <w:r>
        <w:t>titrirati svake 2 do 4 nedelje, u sekvencijalnim dozama od 30 mg dva puta dnevno, 60 mg dva puta dnevno, 90 mg dva puta dnevno i 90 mg tri ili četiri puta dnevno, prema potrebi kako bi se smanjila koncentracija kalcijuma u serumu do gornje granice referentnih vrednosti ili ispod nje.</w:t>
      </w:r>
    </w:p>
    <w:p w14:paraId="5747F8EA" w14:textId="77777777" w:rsidR="00712CF5" w:rsidRDefault="00787E6B">
      <w:pPr>
        <w:pStyle w:val="BodyText"/>
        <w:spacing w:before="1"/>
        <w:jc w:val="both"/>
      </w:pPr>
      <w:r>
        <w:t>Maksimalna</w:t>
      </w:r>
      <w:r>
        <w:rPr>
          <w:spacing w:val="-9"/>
        </w:rPr>
        <w:t xml:space="preserve"> </w:t>
      </w:r>
      <w:r>
        <w:t>doza</w:t>
      </w:r>
      <w:r>
        <w:rPr>
          <w:spacing w:val="-6"/>
        </w:rPr>
        <w:t xml:space="preserve"> </w:t>
      </w:r>
      <w:r>
        <w:t>upotrebljena</w:t>
      </w:r>
      <w:r>
        <w:rPr>
          <w:spacing w:val="-2"/>
        </w:rPr>
        <w:t xml:space="preserve"> </w:t>
      </w:r>
      <w:r>
        <w:t>u</w:t>
      </w:r>
      <w:r>
        <w:rPr>
          <w:spacing w:val="-7"/>
        </w:rPr>
        <w:t xml:space="preserve"> </w:t>
      </w:r>
      <w:r>
        <w:t>kliničkim</w:t>
      </w:r>
      <w:r>
        <w:rPr>
          <w:spacing w:val="-7"/>
        </w:rPr>
        <w:t xml:space="preserve"> </w:t>
      </w:r>
      <w:r>
        <w:t>ispitivanjima</w:t>
      </w:r>
      <w:r>
        <w:rPr>
          <w:spacing w:val="-7"/>
        </w:rPr>
        <w:t xml:space="preserve"> </w:t>
      </w:r>
      <w:r>
        <w:t>bila</w:t>
      </w:r>
      <w:r>
        <w:rPr>
          <w:spacing w:val="-7"/>
        </w:rPr>
        <w:t xml:space="preserve"> </w:t>
      </w:r>
      <w:r>
        <w:t>je</w:t>
      </w:r>
      <w:r>
        <w:rPr>
          <w:spacing w:val="-7"/>
        </w:rPr>
        <w:t xml:space="preserve"> </w:t>
      </w:r>
      <w:r>
        <w:t>90</w:t>
      </w:r>
      <w:r>
        <w:rPr>
          <w:spacing w:val="-7"/>
        </w:rPr>
        <w:t xml:space="preserve"> </w:t>
      </w:r>
      <w:r>
        <w:t>mg</w:t>
      </w:r>
      <w:r>
        <w:rPr>
          <w:spacing w:val="-7"/>
        </w:rPr>
        <w:t xml:space="preserve"> </w:t>
      </w:r>
      <w:r>
        <w:t>četiri</w:t>
      </w:r>
      <w:r>
        <w:rPr>
          <w:spacing w:val="-7"/>
        </w:rPr>
        <w:t xml:space="preserve"> </w:t>
      </w:r>
      <w:r>
        <w:t>puta</w:t>
      </w:r>
      <w:r>
        <w:rPr>
          <w:spacing w:val="-6"/>
        </w:rPr>
        <w:t xml:space="preserve"> </w:t>
      </w:r>
      <w:r>
        <w:rPr>
          <w:spacing w:val="-2"/>
        </w:rPr>
        <w:t>dnevno.</w:t>
      </w:r>
    </w:p>
    <w:p w14:paraId="5747F8EB" w14:textId="57C26263" w:rsidR="00712CF5" w:rsidRDefault="00787E6B">
      <w:pPr>
        <w:pStyle w:val="BodyText"/>
        <w:spacing w:before="251"/>
        <w:ind w:right="139"/>
        <w:jc w:val="both"/>
      </w:pPr>
      <w:r>
        <w:t>Koncentraciju kalcijuma u serumu treba kontrolisati tokom nedelju dana nakon započinjanja terapije ili prilagođavanja doze</w:t>
      </w:r>
      <w:r>
        <w:rPr>
          <w:spacing w:val="-1"/>
        </w:rPr>
        <w:t xml:space="preserve"> </w:t>
      </w:r>
      <w:r>
        <w:t>leka</w:t>
      </w:r>
      <w:r>
        <w:rPr>
          <w:spacing w:val="-3"/>
        </w:rPr>
        <w:t xml:space="preserve"> </w:t>
      </w:r>
      <w:r>
        <w:t>Cineset.</w:t>
      </w:r>
      <w:r>
        <w:rPr>
          <w:spacing w:val="-2"/>
        </w:rPr>
        <w:t xml:space="preserve"> </w:t>
      </w:r>
      <w:r>
        <w:t>Kada</w:t>
      </w:r>
      <w:r>
        <w:rPr>
          <w:spacing w:val="-2"/>
        </w:rPr>
        <w:t xml:space="preserve"> </w:t>
      </w:r>
      <w:r>
        <w:t>se</w:t>
      </w:r>
      <w:r>
        <w:rPr>
          <w:spacing w:val="-2"/>
        </w:rPr>
        <w:t xml:space="preserve"> </w:t>
      </w:r>
      <w:r>
        <w:t>postigne</w:t>
      </w:r>
      <w:r>
        <w:rPr>
          <w:spacing w:val="-2"/>
        </w:rPr>
        <w:t xml:space="preserve"> </w:t>
      </w:r>
      <w:r>
        <w:t>doza</w:t>
      </w:r>
      <w:r>
        <w:rPr>
          <w:spacing w:val="-2"/>
        </w:rPr>
        <w:t xml:space="preserve"> </w:t>
      </w:r>
      <w:r>
        <w:t>održavanja, koncentraciju kalcijuma u serumu treba kontrolisati svaka 2 do 3 meseca. Nakon titracije do maksimalne doze sinakalceta, koncentraciju kalcijuma u serumu treba kontrolisati periodično.Ukoliko se ne postigne klinički značajno smanjenje koncentracije kalcijuma u serumu, treba razmotriti prekid terapije sinakalcet</w:t>
      </w:r>
      <w:r w:rsidR="00371A0E">
        <w:t>om</w:t>
      </w:r>
      <w:r>
        <w:t xml:space="preserve"> (videti odeljak 5.1).</w:t>
      </w:r>
    </w:p>
    <w:p w14:paraId="5747F8EC" w14:textId="77777777" w:rsidR="00712CF5" w:rsidRDefault="00712CF5">
      <w:pPr>
        <w:pStyle w:val="BodyText"/>
        <w:spacing w:before="4"/>
        <w:ind w:left="0"/>
      </w:pPr>
    </w:p>
    <w:p w14:paraId="5747F8ED" w14:textId="77777777" w:rsidR="00712CF5" w:rsidRDefault="00787E6B">
      <w:pPr>
        <w:ind w:left="140"/>
        <w:jc w:val="both"/>
        <w:rPr>
          <w:i/>
        </w:rPr>
      </w:pPr>
      <w:r>
        <w:rPr>
          <w:i/>
        </w:rPr>
        <w:t>Pedijatrijska</w:t>
      </w:r>
      <w:r>
        <w:rPr>
          <w:i/>
          <w:spacing w:val="-13"/>
        </w:rPr>
        <w:t xml:space="preserve"> </w:t>
      </w:r>
      <w:r>
        <w:rPr>
          <w:i/>
          <w:spacing w:val="-2"/>
        </w:rPr>
        <w:t>populacija</w:t>
      </w:r>
    </w:p>
    <w:p w14:paraId="5747F8EE" w14:textId="77777777" w:rsidR="00712CF5" w:rsidRDefault="00787E6B">
      <w:pPr>
        <w:pStyle w:val="BodyText"/>
        <w:spacing w:before="251"/>
      </w:pPr>
      <w:r>
        <w:t>Bezbednost</w:t>
      </w:r>
      <w:r>
        <w:rPr>
          <w:spacing w:val="40"/>
        </w:rPr>
        <w:t xml:space="preserve"> </w:t>
      </w:r>
      <w:r>
        <w:t>i</w:t>
      </w:r>
      <w:r>
        <w:rPr>
          <w:spacing w:val="40"/>
        </w:rPr>
        <w:t xml:space="preserve"> </w:t>
      </w:r>
      <w:r>
        <w:t>efikasnost</w:t>
      </w:r>
      <w:r>
        <w:rPr>
          <w:spacing w:val="40"/>
        </w:rPr>
        <w:t xml:space="preserve"> </w:t>
      </w:r>
      <w:r>
        <w:t>primene</w:t>
      </w:r>
      <w:r>
        <w:rPr>
          <w:spacing w:val="40"/>
        </w:rPr>
        <w:t xml:space="preserve"> </w:t>
      </w:r>
      <w:r>
        <w:t>sinakalceta</w:t>
      </w:r>
      <w:r>
        <w:rPr>
          <w:spacing w:val="40"/>
        </w:rPr>
        <w:t xml:space="preserve"> </w:t>
      </w:r>
      <w:r>
        <w:t>kod</w:t>
      </w:r>
      <w:r>
        <w:rPr>
          <w:spacing w:val="40"/>
        </w:rPr>
        <w:t xml:space="preserve"> </w:t>
      </w:r>
      <w:r>
        <w:t>dece</w:t>
      </w:r>
      <w:r>
        <w:rPr>
          <w:spacing w:val="40"/>
        </w:rPr>
        <w:t xml:space="preserve"> </w:t>
      </w:r>
      <w:r>
        <w:t>za</w:t>
      </w:r>
      <w:r>
        <w:rPr>
          <w:spacing w:val="40"/>
        </w:rPr>
        <w:t xml:space="preserve"> </w:t>
      </w:r>
      <w:r>
        <w:t>lečenje</w:t>
      </w:r>
      <w:r>
        <w:rPr>
          <w:spacing w:val="40"/>
        </w:rPr>
        <w:t xml:space="preserve"> </w:t>
      </w:r>
      <w:r>
        <w:t>paratireoidnog</w:t>
      </w:r>
      <w:r>
        <w:rPr>
          <w:spacing w:val="40"/>
        </w:rPr>
        <w:t xml:space="preserve"> </w:t>
      </w:r>
      <w:r>
        <w:t>karcinoma</w:t>
      </w:r>
      <w:r>
        <w:rPr>
          <w:spacing w:val="40"/>
        </w:rPr>
        <w:t xml:space="preserve"> </w:t>
      </w:r>
      <w:r>
        <w:t>i</w:t>
      </w:r>
      <w:r>
        <w:rPr>
          <w:spacing w:val="40"/>
        </w:rPr>
        <w:t xml:space="preserve"> </w:t>
      </w:r>
      <w:r>
        <w:t>primarnog hiperparatireoidizma nisu ustanovljene. Nema dostupnih podataka.</w:t>
      </w:r>
    </w:p>
    <w:p w14:paraId="5747F8EF" w14:textId="77777777" w:rsidR="00712CF5" w:rsidRDefault="00712CF5">
      <w:pPr>
        <w:pStyle w:val="BodyText"/>
        <w:spacing w:before="4"/>
        <w:ind w:left="0"/>
      </w:pPr>
    </w:p>
    <w:p w14:paraId="5747F8F0" w14:textId="77777777" w:rsidR="00712CF5" w:rsidRDefault="00787E6B">
      <w:pPr>
        <w:pStyle w:val="Heading2"/>
        <w:ind w:left="140"/>
      </w:pPr>
      <w:r>
        <w:t>Oštećenje</w:t>
      </w:r>
      <w:r>
        <w:rPr>
          <w:spacing w:val="-7"/>
        </w:rPr>
        <w:t xml:space="preserve"> </w:t>
      </w:r>
      <w:r>
        <w:t>funkcije</w:t>
      </w:r>
      <w:r>
        <w:rPr>
          <w:spacing w:val="-9"/>
        </w:rPr>
        <w:t xml:space="preserve"> </w:t>
      </w:r>
      <w:r>
        <w:rPr>
          <w:spacing w:val="-2"/>
        </w:rPr>
        <w:t>jetre</w:t>
      </w:r>
    </w:p>
    <w:p w14:paraId="5747F8F1" w14:textId="77777777" w:rsidR="00712CF5" w:rsidRDefault="00787E6B">
      <w:pPr>
        <w:pStyle w:val="BodyText"/>
        <w:spacing w:before="251"/>
        <w:ind w:right="139"/>
        <w:jc w:val="both"/>
      </w:pPr>
      <w:r>
        <w:t>Nije potrebno prilagođavanje početne doze. Potreban je oprez kod primene leka Cineset pacijentima sa umerenim</w:t>
      </w:r>
      <w:r>
        <w:rPr>
          <w:spacing w:val="-2"/>
        </w:rPr>
        <w:t xml:space="preserve"> </w:t>
      </w:r>
      <w:r>
        <w:t>do</w:t>
      </w:r>
      <w:r>
        <w:rPr>
          <w:spacing w:val="-2"/>
        </w:rPr>
        <w:t xml:space="preserve"> </w:t>
      </w:r>
      <w:r>
        <w:t>teškim</w:t>
      </w:r>
      <w:r>
        <w:rPr>
          <w:spacing w:val="-2"/>
        </w:rPr>
        <w:t xml:space="preserve"> </w:t>
      </w:r>
      <w:r>
        <w:t>oštećenjem</w:t>
      </w:r>
      <w:r>
        <w:rPr>
          <w:spacing w:val="-2"/>
        </w:rPr>
        <w:t xml:space="preserve"> </w:t>
      </w:r>
      <w:r>
        <w:t>funkcije</w:t>
      </w:r>
      <w:r>
        <w:rPr>
          <w:spacing w:val="-2"/>
        </w:rPr>
        <w:t xml:space="preserve"> </w:t>
      </w:r>
      <w:r>
        <w:t>jetre,</w:t>
      </w:r>
      <w:r>
        <w:rPr>
          <w:spacing w:val="-1"/>
        </w:rPr>
        <w:t xml:space="preserve"> </w:t>
      </w:r>
      <w:r>
        <w:t>zbog</w:t>
      </w:r>
      <w:r>
        <w:rPr>
          <w:spacing w:val="-1"/>
        </w:rPr>
        <w:t xml:space="preserve"> </w:t>
      </w:r>
      <w:r>
        <w:t>čega</w:t>
      </w:r>
      <w:r>
        <w:rPr>
          <w:spacing w:val="-1"/>
        </w:rPr>
        <w:t xml:space="preserve"> </w:t>
      </w:r>
      <w:r>
        <w:t>je</w:t>
      </w:r>
      <w:r>
        <w:rPr>
          <w:spacing w:val="-1"/>
        </w:rPr>
        <w:t xml:space="preserve"> </w:t>
      </w:r>
      <w:r>
        <w:t>potrebno</w:t>
      </w:r>
      <w:r>
        <w:rPr>
          <w:spacing w:val="-1"/>
        </w:rPr>
        <w:t xml:space="preserve"> </w:t>
      </w:r>
      <w:r>
        <w:t>dodatno praćenje</w:t>
      </w:r>
      <w:r>
        <w:rPr>
          <w:spacing w:val="-2"/>
        </w:rPr>
        <w:t xml:space="preserve"> </w:t>
      </w:r>
      <w:r>
        <w:t>tokom</w:t>
      </w:r>
      <w:r>
        <w:rPr>
          <w:spacing w:val="-1"/>
        </w:rPr>
        <w:t xml:space="preserve"> </w:t>
      </w:r>
      <w:r>
        <w:t>titracije</w:t>
      </w:r>
      <w:r>
        <w:rPr>
          <w:spacing w:val="-1"/>
        </w:rPr>
        <w:t xml:space="preserve"> </w:t>
      </w:r>
      <w:r>
        <w:t>doze</w:t>
      </w:r>
      <w:r>
        <w:rPr>
          <w:spacing w:val="-1"/>
        </w:rPr>
        <w:t xml:space="preserve"> </w:t>
      </w:r>
      <w:r>
        <w:t>i kontinuiranog lečenja (videti odeljke 4.4 i 5.2).</w:t>
      </w:r>
    </w:p>
    <w:p w14:paraId="5747F8F2" w14:textId="77777777" w:rsidR="00712CF5" w:rsidRDefault="00712CF5">
      <w:pPr>
        <w:pStyle w:val="BodyText"/>
        <w:spacing w:before="1"/>
        <w:ind w:left="0"/>
      </w:pPr>
    </w:p>
    <w:p w14:paraId="5747F8F3" w14:textId="77777777" w:rsidR="00712CF5" w:rsidRDefault="00787E6B">
      <w:pPr>
        <w:pStyle w:val="Heading2"/>
        <w:ind w:left="140"/>
      </w:pPr>
      <w:r>
        <w:t>Način</w:t>
      </w:r>
      <w:r>
        <w:rPr>
          <w:spacing w:val="-6"/>
        </w:rPr>
        <w:t xml:space="preserve"> </w:t>
      </w:r>
      <w:r>
        <w:rPr>
          <w:spacing w:val="-2"/>
        </w:rPr>
        <w:t>primene</w:t>
      </w:r>
    </w:p>
    <w:p w14:paraId="5747F8F4" w14:textId="77777777" w:rsidR="00712CF5" w:rsidRDefault="00787E6B">
      <w:pPr>
        <w:pStyle w:val="BodyText"/>
        <w:spacing w:before="251"/>
      </w:pPr>
      <w:r>
        <w:t>Lek</w:t>
      </w:r>
      <w:r>
        <w:rPr>
          <w:spacing w:val="-6"/>
        </w:rPr>
        <w:t xml:space="preserve"> </w:t>
      </w:r>
      <w:r>
        <w:t>je</w:t>
      </w:r>
      <w:r>
        <w:rPr>
          <w:spacing w:val="-5"/>
        </w:rPr>
        <w:t xml:space="preserve"> </w:t>
      </w:r>
      <w:r>
        <w:t>namenjen</w:t>
      </w:r>
      <w:r>
        <w:rPr>
          <w:spacing w:val="-2"/>
        </w:rPr>
        <w:t xml:space="preserve"> </w:t>
      </w:r>
      <w:r>
        <w:t>za</w:t>
      </w:r>
      <w:r>
        <w:rPr>
          <w:spacing w:val="-4"/>
        </w:rPr>
        <w:t xml:space="preserve"> </w:t>
      </w:r>
      <w:r>
        <w:t>oralnu</w:t>
      </w:r>
      <w:r>
        <w:rPr>
          <w:spacing w:val="-4"/>
        </w:rPr>
        <w:t xml:space="preserve"> </w:t>
      </w:r>
      <w:r>
        <w:rPr>
          <w:spacing w:val="-2"/>
        </w:rPr>
        <w:t>upotrebu.</w:t>
      </w:r>
    </w:p>
    <w:p w14:paraId="5747F8F5" w14:textId="77777777" w:rsidR="00712CF5" w:rsidRDefault="00787E6B">
      <w:pPr>
        <w:pStyle w:val="BodyText"/>
        <w:spacing w:before="251"/>
      </w:pPr>
      <w:r>
        <w:t>Tablete</w:t>
      </w:r>
      <w:r>
        <w:rPr>
          <w:spacing w:val="-8"/>
        </w:rPr>
        <w:t xml:space="preserve"> </w:t>
      </w:r>
      <w:r>
        <w:t>treba</w:t>
      </w:r>
      <w:r>
        <w:rPr>
          <w:spacing w:val="-5"/>
        </w:rPr>
        <w:t xml:space="preserve"> </w:t>
      </w:r>
      <w:r>
        <w:t>uzeti</w:t>
      </w:r>
      <w:r>
        <w:rPr>
          <w:spacing w:val="-6"/>
        </w:rPr>
        <w:t xml:space="preserve"> </w:t>
      </w:r>
      <w:r>
        <w:t>cele,</w:t>
      </w:r>
      <w:r>
        <w:rPr>
          <w:spacing w:val="-5"/>
        </w:rPr>
        <w:t xml:space="preserve"> </w:t>
      </w:r>
      <w:r>
        <w:t>ne</w:t>
      </w:r>
      <w:r>
        <w:rPr>
          <w:spacing w:val="-5"/>
        </w:rPr>
        <w:t xml:space="preserve"> </w:t>
      </w:r>
      <w:r>
        <w:t>smeju</w:t>
      </w:r>
      <w:r>
        <w:rPr>
          <w:spacing w:val="-6"/>
        </w:rPr>
        <w:t xml:space="preserve"> </w:t>
      </w:r>
      <w:r>
        <w:t>se</w:t>
      </w:r>
      <w:r>
        <w:rPr>
          <w:spacing w:val="-5"/>
        </w:rPr>
        <w:t xml:space="preserve"> </w:t>
      </w:r>
      <w:r>
        <w:t>žvakati,</w:t>
      </w:r>
      <w:r>
        <w:rPr>
          <w:spacing w:val="-6"/>
        </w:rPr>
        <w:t xml:space="preserve"> </w:t>
      </w:r>
      <w:r>
        <w:t>drobiti</w:t>
      </w:r>
      <w:r>
        <w:rPr>
          <w:spacing w:val="-5"/>
        </w:rPr>
        <w:t xml:space="preserve"> </w:t>
      </w:r>
      <w:r>
        <w:t>ili</w:t>
      </w:r>
      <w:r>
        <w:rPr>
          <w:spacing w:val="-5"/>
        </w:rPr>
        <w:t xml:space="preserve"> </w:t>
      </w:r>
      <w:r>
        <w:rPr>
          <w:spacing w:val="-2"/>
        </w:rPr>
        <w:t>lomiti.</w:t>
      </w:r>
    </w:p>
    <w:p w14:paraId="5747F8F6" w14:textId="77777777" w:rsidR="00712CF5" w:rsidRDefault="00712CF5">
      <w:pPr>
        <w:pStyle w:val="BodyText"/>
        <w:sectPr w:rsidR="00712CF5">
          <w:type w:val="continuous"/>
          <w:pgSz w:w="11910" w:h="16840"/>
          <w:pgMar w:top="880" w:right="992" w:bottom="1500" w:left="992" w:header="0" w:footer="1311" w:gutter="0"/>
          <w:cols w:space="720"/>
        </w:sectPr>
      </w:pPr>
    </w:p>
    <w:p w14:paraId="5747F8F7" w14:textId="77777777" w:rsidR="00712CF5" w:rsidRDefault="00787E6B">
      <w:pPr>
        <w:pStyle w:val="BodyText"/>
        <w:spacing w:before="67" w:line="237" w:lineRule="auto"/>
        <w:ind w:right="222"/>
      </w:pPr>
      <w:r>
        <w:lastRenderedPageBreak/>
        <w:t>Preporučuje</w:t>
      </w:r>
      <w:r>
        <w:rPr>
          <w:spacing w:val="-2"/>
        </w:rPr>
        <w:t xml:space="preserve"> </w:t>
      </w:r>
      <w:r>
        <w:t>se</w:t>
      </w:r>
      <w:r>
        <w:rPr>
          <w:spacing w:val="-7"/>
        </w:rPr>
        <w:t xml:space="preserve"> </w:t>
      </w:r>
      <w:r>
        <w:t>da</w:t>
      </w:r>
      <w:r>
        <w:rPr>
          <w:spacing w:val="-2"/>
        </w:rPr>
        <w:t xml:space="preserve"> </w:t>
      </w:r>
      <w:r>
        <w:t>se</w:t>
      </w:r>
      <w:r>
        <w:rPr>
          <w:spacing w:val="-4"/>
        </w:rPr>
        <w:t xml:space="preserve"> </w:t>
      </w:r>
      <w:r>
        <w:t>sinakalcet</w:t>
      </w:r>
      <w:r>
        <w:rPr>
          <w:spacing w:val="-4"/>
        </w:rPr>
        <w:t xml:space="preserve"> </w:t>
      </w:r>
      <w:r>
        <w:t>uzima sa hranom</w:t>
      </w:r>
      <w:r>
        <w:rPr>
          <w:spacing w:val="-4"/>
        </w:rPr>
        <w:t xml:space="preserve"> </w:t>
      </w:r>
      <w:r>
        <w:t>ili</w:t>
      </w:r>
      <w:r>
        <w:rPr>
          <w:spacing w:val="-4"/>
        </w:rPr>
        <w:t xml:space="preserve"> </w:t>
      </w:r>
      <w:r>
        <w:t>neposredno</w:t>
      </w:r>
      <w:r>
        <w:rPr>
          <w:spacing w:val="-4"/>
        </w:rPr>
        <w:t xml:space="preserve"> </w:t>
      </w:r>
      <w:r>
        <w:t>nakon</w:t>
      </w:r>
      <w:r>
        <w:rPr>
          <w:spacing w:val="-4"/>
        </w:rPr>
        <w:t xml:space="preserve"> </w:t>
      </w:r>
      <w:r>
        <w:t>obroka</w:t>
      </w:r>
      <w:r>
        <w:rPr>
          <w:spacing w:val="-4"/>
        </w:rPr>
        <w:t xml:space="preserve"> </w:t>
      </w:r>
      <w:r>
        <w:t>jer</w:t>
      </w:r>
      <w:r>
        <w:rPr>
          <w:spacing w:val="-4"/>
        </w:rPr>
        <w:t xml:space="preserve"> </w:t>
      </w:r>
      <w:r>
        <w:t>su</w:t>
      </w:r>
      <w:r>
        <w:rPr>
          <w:spacing w:val="-4"/>
        </w:rPr>
        <w:t xml:space="preserve"> </w:t>
      </w:r>
      <w:r>
        <w:t>ispitivanja</w:t>
      </w:r>
      <w:r>
        <w:rPr>
          <w:spacing w:val="-4"/>
        </w:rPr>
        <w:t xml:space="preserve"> </w:t>
      </w:r>
      <w:r>
        <w:t>pokazala kako je bioraspoloživost sinakalceta povećana kad se uzima sa hranom (videti odeljak 5.2).</w:t>
      </w:r>
    </w:p>
    <w:p w14:paraId="5747F8F8" w14:textId="77777777" w:rsidR="00712CF5" w:rsidRDefault="00712CF5">
      <w:pPr>
        <w:pStyle w:val="BodyText"/>
        <w:spacing w:before="4"/>
        <w:ind w:left="0"/>
      </w:pPr>
    </w:p>
    <w:p w14:paraId="5747F8F9" w14:textId="77777777" w:rsidR="00712CF5" w:rsidRDefault="00787E6B">
      <w:pPr>
        <w:pStyle w:val="BodyText"/>
        <w:spacing w:line="237" w:lineRule="auto"/>
      </w:pPr>
      <w:r>
        <w:t>Sinakalcet je takođe dostupan u obliku granula za pedijatrijsku primenu. Kod dece koja trebaju primiti doze manje od 30 mg ili ne mogu progutati tablete, potrebno je primeniti granule sinakalceta.</w:t>
      </w:r>
    </w:p>
    <w:p w14:paraId="5747F8FA" w14:textId="77777777" w:rsidR="00712CF5" w:rsidRDefault="00712CF5">
      <w:pPr>
        <w:pStyle w:val="BodyText"/>
        <w:spacing w:before="3"/>
        <w:ind w:left="0"/>
      </w:pPr>
    </w:p>
    <w:p w14:paraId="5747F8FB" w14:textId="77777777" w:rsidR="00712CF5" w:rsidRDefault="00787E6B">
      <w:pPr>
        <w:pStyle w:val="BodyText"/>
        <w:jc w:val="both"/>
      </w:pPr>
      <w:r>
        <w:t>U</w:t>
      </w:r>
      <w:r>
        <w:rPr>
          <w:spacing w:val="-7"/>
        </w:rPr>
        <w:t xml:space="preserve"> </w:t>
      </w:r>
      <w:r>
        <w:t>Republici</w:t>
      </w:r>
      <w:r>
        <w:rPr>
          <w:spacing w:val="-6"/>
        </w:rPr>
        <w:t xml:space="preserve"> </w:t>
      </w:r>
      <w:r>
        <w:t>Srbiji</w:t>
      </w:r>
      <w:r>
        <w:rPr>
          <w:spacing w:val="-7"/>
        </w:rPr>
        <w:t xml:space="preserve"> </w:t>
      </w:r>
      <w:r>
        <w:t>nije</w:t>
      </w:r>
      <w:r>
        <w:rPr>
          <w:spacing w:val="-6"/>
        </w:rPr>
        <w:t xml:space="preserve"> </w:t>
      </w:r>
      <w:r>
        <w:t>registrovan</w:t>
      </w:r>
      <w:r>
        <w:rPr>
          <w:spacing w:val="-6"/>
        </w:rPr>
        <w:t xml:space="preserve"> </w:t>
      </w:r>
      <w:r>
        <w:t>sinakalcet</w:t>
      </w:r>
      <w:r>
        <w:rPr>
          <w:spacing w:val="-7"/>
        </w:rPr>
        <w:t xml:space="preserve"> </w:t>
      </w:r>
      <w:r>
        <w:t>u</w:t>
      </w:r>
      <w:r>
        <w:rPr>
          <w:spacing w:val="-5"/>
        </w:rPr>
        <w:t xml:space="preserve"> </w:t>
      </w:r>
      <w:r>
        <w:t>obliku</w:t>
      </w:r>
      <w:r>
        <w:rPr>
          <w:spacing w:val="-6"/>
        </w:rPr>
        <w:t xml:space="preserve"> </w:t>
      </w:r>
      <w:r>
        <w:t>granula</w:t>
      </w:r>
      <w:r>
        <w:rPr>
          <w:spacing w:val="-7"/>
        </w:rPr>
        <w:t xml:space="preserve"> </w:t>
      </w:r>
      <w:r>
        <w:t>za</w:t>
      </w:r>
      <w:r>
        <w:rPr>
          <w:spacing w:val="-6"/>
        </w:rPr>
        <w:t xml:space="preserve"> </w:t>
      </w:r>
      <w:r>
        <w:t>pedijatrijsku</w:t>
      </w:r>
      <w:r>
        <w:rPr>
          <w:spacing w:val="-6"/>
        </w:rPr>
        <w:t xml:space="preserve"> </w:t>
      </w:r>
      <w:r>
        <w:rPr>
          <w:spacing w:val="-2"/>
        </w:rPr>
        <w:t>upotrebu.</w:t>
      </w:r>
    </w:p>
    <w:p w14:paraId="5747F8FC" w14:textId="77777777" w:rsidR="00712CF5" w:rsidRDefault="00712CF5">
      <w:pPr>
        <w:pStyle w:val="BodyText"/>
        <w:spacing w:before="2"/>
        <w:ind w:left="0"/>
      </w:pPr>
    </w:p>
    <w:p w14:paraId="5747F8FD" w14:textId="77777777" w:rsidR="00712CF5" w:rsidRDefault="00787E6B">
      <w:pPr>
        <w:pStyle w:val="Heading2"/>
        <w:numPr>
          <w:ilvl w:val="1"/>
          <w:numId w:val="3"/>
        </w:numPr>
        <w:tabs>
          <w:tab w:val="left" w:pos="522"/>
        </w:tabs>
        <w:spacing w:before="1"/>
        <w:ind w:left="522" w:hanging="382"/>
      </w:pPr>
      <w:r>
        <w:rPr>
          <w:spacing w:val="-2"/>
        </w:rPr>
        <w:t>Kontraindikacije</w:t>
      </w:r>
    </w:p>
    <w:p w14:paraId="5747F8FE" w14:textId="77777777" w:rsidR="00712CF5" w:rsidRDefault="00787E6B">
      <w:pPr>
        <w:pStyle w:val="BodyText"/>
        <w:spacing w:before="251" w:line="477" w:lineRule="auto"/>
      </w:pPr>
      <w:r>
        <w:t>Preosetljivost</w:t>
      </w:r>
      <w:r>
        <w:rPr>
          <w:spacing w:val="-3"/>
        </w:rPr>
        <w:t xml:space="preserve"> </w:t>
      </w:r>
      <w:r>
        <w:t>na</w:t>
      </w:r>
      <w:r>
        <w:rPr>
          <w:spacing w:val="-3"/>
        </w:rPr>
        <w:t xml:space="preserve"> </w:t>
      </w:r>
      <w:r>
        <w:t>aktivnu</w:t>
      </w:r>
      <w:r>
        <w:rPr>
          <w:spacing w:val="-3"/>
        </w:rPr>
        <w:t xml:space="preserve"> </w:t>
      </w:r>
      <w:r>
        <w:t>supstancu</w:t>
      </w:r>
      <w:r>
        <w:rPr>
          <w:spacing w:val="-3"/>
        </w:rPr>
        <w:t xml:space="preserve"> </w:t>
      </w:r>
      <w:r>
        <w:t>ili</w:t>
      </w:r>
      <w:r>
        <w:rPr>
          <w:spacing w:val="-3"/>
        </w:rPr>
        <w:t xml:space="preserve"> </w:t>
      </w:r>
      <w:r>
        <w:t>na</w:t>
      </w:r>
      <w:r>
        <w:rPr>
          <w:spacing w:val="-3"/>
        </w:rPr>
        <w:t xml:space="preserve"> </w:t>
      </w:r>
      <w:r>
        <w:t>bilo</w:t>
      </w:r>
      <w:r>
        <w:rPr>
          <w:spacing w:val="-3"/>
        </w:rPr>
        <w:t xml:space="preserve"> </w:t>
      </w:r>
      <w:r>
        <w:t>koju od</w:t>
      </w:r>
      <w:r>
        <w:rPr>
          <w:spacing w:val="-3"/>
        </w:rPr>
        <w:t xml:space="preserve"> </w:t>
      </w:r>
      <w:r>
        <w:t>pomoćnih</w:t>
      </w:r>
      <w:r>
        <w:rPr>
          <w:spacing w:val="-3"/>
        </w:rPr>
        <w:t xml:space="preserve"> </w:t>
      </w:r>
      <w:r>
        <w:t>supstanci</w:t>
      </w:r>
      <w:r>
        <w:rPr>
          <w:spacing w:val="-3"/>
        </w:rPr>
        <w:t xml:space="preserve"> </w:t>
      </w:r>
      <w:r>
        <w:t>navedenih</w:t>
      </w:r>
      <w:r>
        <w:rPr>
          <w:spacing w:val="-3"/>
        </w:rPr>
        <w:t xml:space="preserve"> </w:t>
      </w:r>
      <w:r>
        <w:t>u</w:t>
      </w:r>
      <w:r>
        <w:rPr>
          <w:spacing w:val="-3"/>
        </w:rPr>
        <w:t xml:space="preserve"> </w:t>
      </w:r>
      <w:r>
        <w:t>odeljku</w:t>
      </w:r>
      <w:r>
        <w:rPr>
          <w:spacing w:val="-3"/>
        </w:rPr>
        <w:t xml:space="preserve"> </w:t>
      </w:r>
      <w:r>
        <w:t>6.1. Hipokalcemija (videti odeljke 4.2 i 4.4).</w:t>
      </w:r>
    </w:p>
    <w:p w14:paraId="5747F8FF" w14:textId="77777777" w:rsidR="00712CF5" w:rsidRDefault="00787E6B">
      <w:pPr>
        <w:pStyle w:val="Heading2"/>
        <w:numPr>
          <w:ilvl w:val="1"/>
          <w:numId w:val="3"/>
        </w:numPr>
        <w:tabs>
          <w:tab w:val="left" w:pos="522"/>
        </w:tabs>
        <w:spacing w:before="6"/>
        <w:ind w:left="522" w:hanging="382"/>
      </w:pPr>
      <w:r>
        <w:t>Posebna</w:t>
      </w:r>
      <w:r>
        <w:rPr>
          <w:spacing w:val="-6"/>
        </w:rPr>
        <w:t xml:space="preserve"> </w:t>
      </w:r>
      <w:r>
        <w:t>upozorenja</w:t>
      </w:r>
      <w:r>
        <w:rPr>
          <w:spacing w:val="-6"/>
        </w:rPr>
        <w:t xml:space="preserve"> </w:t>
      </w:r>
      <w:r>
        <w:t>i</w:t>
      </w:r>
      <w:r>
        <w:rPr>
          <w:spacing w:val="-5"/>
        </w:rPr>
        <w:t xml:space="preserve"> </w:t>
      </w:r>
      <w:r>
        <w:t>mere</w:t>
      </w:r>
      <w:r>
        <w:rPr>
          <w:spacing w:val="-6"/>
        </w:rPr>
        <w:t xml:space="preserve"> </w:t>
      </w:r>
      <w:r>
        <w:t>opreza</w:t>
      </w:r>
      <w:r>
        <w:rPr>
          <w:spacing w:val="-5"/>
        </w:rPr>
        <w:t xml:space="preserve"> </w:t>
      </w:r>
      <w:r>
        <w:t>pri</w:t>
      </w:r>
      <w:r>
        <w:rPr>
          <w:spacing w:val="-6"/>
        </w:rPr>
        <w:t xml:space="preserve"> </w:t>
      </w:r>
      <w:r>
        <w:t>upotrebi</w:t>
      </w:r>
      <w:r>
        <w:rPr>
          <w:spacing w:val="-5"/>
        </w:rPr>
        <w:t xml:space="preserve"> </w:t>
      </w:r>
      <w:r>
        <w:rPr>
          <w:spacing w:val="-4"/>
        </w:rPr>
        <w:t>leka</w:t>
      </w:r>
    </w:p>
    <w:p w14:paraId="5747F900" w14:textId="77777777" w:rsidR="00712CF5" w:rsidRDefault="00787E6B">
      <w:pPr>
        <w:spacing w:before="251"/>
        <w:ind w:left="140"/>
        <w:jc w:val="both"/>
        <w:rPr>
          <w:i/>
        </w:rPr>
      </w:pPr>
      <w:r>
        <w:rPr>
          <w:i/>
          <w:u w:val="single"/>
        </w:rPr>
        <w:t>Koncentracija</w:t>
      </w:r>
      <w:r>
        <w:rPr>
          <w:i/>
          <w:spacing w:val="-8"/>
          <w:u w:val="single"/>
        </w:rPr>
        <w:t xml:space="preserve"> </w:t>
      </w:r>
      <w:r>
        <w:rPr>
          <w:i/>
          <w:u w:val="single"/>
        </w:rPr>
        <w:t>kalcijuma</w:t>
      </w:r>
      <w:r>
        <w:rPr>
          <w:i/>
          <w:spacing w:val="-8"/>
          <w:u w:val="single"/>
        </w:rPr>
        <w:t xml:space="preserve"> </w:t>
      </w:r>
      <w:r>
        <w:rPr>
          <w:i/>
          <w:u w:val="single"/>
        </w:rPr>
        <w:t>u</w:t>
      </w:r>
      <w:r>
        <w:rPr>
          <w:i/>
          <w:spacing w:val="-7"/>
          <w:u w:val="single"/>
        </w:rPr>
        <w:t xml:space="preserve"> </w:t>
      </w:r>
      <w:r>
        <w:rPr>
          <w:i/>
          <w:spacing w:val="-2"/>
          <w:u w:val="single"/>
        </w:rPr>
        <w:t>serumu</w:t>
      </w:r>
    </w:p>
    <w:p w14:paraId="5747F901" w14:textId="77777777" w:rsidR="00712CF5" w:rsidRDefault="00787E6B">
      <w:pPr>
        <w:pStyle w:val="BodyText"/>
        <w:spacing w:before="1"/>
        <w:ind w:right="139"/>
        <w:jc w:val="both"/>
      </w:pPr>
      <w:r>
        <w:t>Životno</w:t>
      </w:r>
      <w:r>
        <w:rPr>
          <w:spacing w:val="-2"/>
        </w:rPr>
        <w:t xml:space="preserve"> </w:t>
      </w:r>
      <w:r>
        <w:t>ugrožavajući</w:t>
      </w:r>
      <w:r>
        <w:rPr>
          <w:spacing w:val="-3"/>
        </w:rPr>
        <w:t xml:space="preserve"> </w:t>
      </w:r>
      <w:r>
        <w:t>događaji</w:t>
      </w:r>
      <w:r>
        <w:rPr>
          <w:spacing w:val="-3"/>
        </w:rPr>
        <w:t xml:space="preserve"> </w:t>
      </w:r>
      <w:r>
        <w:t>ponekad</w:t>
      </w:r>
      <w:r>
        <w:rPr>
          <w:spacing w:val="-3"/>
        </w:rPr>
        <w:t xml:space="preserve"> </w:t>
      </w:r>
      <w:r>
        <w:t>povezani</w:t>
      </w:r>
      <w:r>
        <w:rPr>
          <w:spacing w:val="-3"/>
        </w:rPr>
        <w:t xml:space="preserve"> </w:t>
      </w:r>
      <w:r>
        <w:t>sa</w:t>
      </w:r>
      <w:r>
        <w:rPr>
          <w:spacing w:val="-3"/>
        </w:rPr>
        <w:t xml:space="preserve"> </w:t>
      </w:r>
      <w:r>
        <w:t>smrtnim</w:t>
      </w:r>
      <w:r>
        <w:rPr>
          <w:spacing w:val="-3"/>
        </w:rPr>
        <w:t xml:space="preserve"> </w:t>
      </w:r>
      <w:r>
        <w:t>ishodom</w:t>
      </w:r>
      <w:r>
        <w:rPr>
          <w:spacing w:val="-3"/>
        </w:rPr>
        <w:t xml:space="preserve"> </w:t>
      </w:r>
      <w:r>
        <w:t>a</w:t>
      </w:r>
      <w:r>
        <w:rPr>
          <w:spacing w:val="-2"/>
        </w:rPr>
        <w:t xml:space="preserve"> </w:t>
      </w:r>
      <w:r>
        <w:t>u</w:t>
      </w:r>
      <w:r>
        <w:rPr>
          <w:spacing w:val="-2"/>
        </w:rPr>
        <w:t xml:space="preserve"> </w:t>
      </w:r>
      <w:r>
        <w:t>vezi</w:t>
      </w:r>
      <w:r>
        <w:rPr>
          <w:spacing w:val="-4"/>
        </w:rPr>
        <w:t xml:space="preserve"> </w:t>
      </w:r>
      <w:r>
        <w:t>sa hipokalcemijom</w:t>
      </w:r>
      <w:r>
        <w:rPr>
          <w:spacing w:val="-3"/>
        </w:rPr>
        <w:t xml:space="preserve"> </w:t>
      </w:r>
      <w:r>
        <w:t>zabeleženi su kod odraslih i pedijatrijskih pacijenata koji su bili na terapiji sinakalcetom. Manifestacije hipokalcemije mogu uključivati parestezije, mijalgije, grčeve, tetaniju i konvulzije. Smanjenje koncentracije kalcijuma u serumu takođe može produžiti QT interval i dovesti do ventrikularne aritmije uzrokovane hipokalcemijom.</w:t>
      </w:r>
    </w:p>
    <w:p w14:paraId="5747F902" w14:textId="77777777" w:rsidR="00712CF5" w:rsidRDefault="00787E6B">
      <w:pPr>
        <w:pStyle w:val="BodyText"/>
        <w:ind w:right="139"/>
        <w:jc w:val="both"/>
      </w:pPr>
      <w:r>
        <w:t>Slučajevi produženja QT intervala i ventrikularnih aritmija zabeleženi su kod pacijenata koji su na terapiji sinakalcetom (videti odeljak 4.8).</w:t>
      </w:r>
      <w:r>
        <w:rPr>
          <w:spacing w:val="-2"/>
        </w:rPr>
        <w:t xml:space="preserve"> </w:t>
      </w:r>
      <w:r>
        <w:t>Savetuje</w:t>
      </w:r>
      <w:r>
        <w:rPr>
          <w:spacing w:val="-2"/>
        </w:rPr>
        <w:t xml:space="preserve"> </w:t>
      </w:r>
      <w:r>
        <w:t>se</w:t>
      </w:r>
      <w:r>
        <w:rPr>
          <w:spacing w:val="-2"/>
        </w:rPr>
        <w:t xml:space="preserve"> </w:t>
      </w:r>
      <w:r>
        <w:t>oprez kod pacijenata sa drugim faktorima rizika</w:t>
      </w:r>
      <w:r>
        <w:rPr>
          <w:spacing w:val="-1"/>
        </w:rPr>
        <w:t xml:space="preserve"> </w:t>
      </w:r>
      <w:r>
        <w:t>za</w:t>
      </w:r>
      <w:r>
        <w:rPr>
          <w:spacing w:val="-1"/>
        </w:rPr>
        <w:t xml:space="preserve"> </w:t>
      </w:r>
      <w:r>
        <w:t>produženje QT intervala, kao što su pacijenti za koje se zna da imaju sindrom produženog QT intervala ili pacijenti koji primaju lekove za koje se zna da produžavaju QT interval.</w:t>
      </w:r>
    </w:p>
    <w:p w14:paraId="5747F903" w14:textId="77777777" w:rsidR="00712CF5" w:rsidRDefault="00787E6B">
      <w:pPr>
        <w:pStyle w:val="BodyText"/>
        <w:spacing w:before="251"/>
        <w:ind w:right="140"/>
        <w:jc w:val="both"/>
      </w:pPr>
      <w:r>
        <w:t>Kako sinakalcet smanjuje koncentraciju kalcijuma u serumu, treba pomno pratiti pacijente zbog moguće hipokalcemije (videti odeljak 4.2). Koncentraciju kalcijuma u serumu treba kontrolisati unutar nedelju dana nakon započinjanja terapije ili prilagođavanja doze leka Cineset.</w:t>
      </w:r>
    </w:p>
    <w:p w14:paraId="5747F904" w14:textId="77777777" w:rsidR="00712CF5" w:rsidRDefault="00712CF5">
      <w:pPr>
        <w:pStyle w:val="BodyText"/>
        <w:spacing w:before="1"/>
        <w:ind w:left="0"/>
      </w:pPr>
    </w:p>
    <w:p w14:paraId="5747F905" w14:textId="77777777" w:rsidR="00712CF5" w:rsidRDefault="00787E6B">
      <w:pPr>
        <w:spacing w:line="251" w:lineRule="exact"/>
        <w:ind w:left="140"/>
        <w:rPr>
          <w:i/>
        </w:rPr>
      </w:pPr>
      <w:r>
        <w:rPr>
          <w:i/>
          <w:spacing w:val="-2"/>
        </w:rPr>
        <w:t>Odrasli</w:t>
      </w:r>
    </w:p>
    <w:p w14:paraId="5747F906" w14:textId="77777777" w:rsidR="00712CF5" w:rsidRDefault="00787E6B">
      <w:pPr>
        <w:pStyle w:val="BodyText"/>
      </w:pPr>
      <w:r>
        <w:t>Lečenje</w:t>
      </w:r>
      <w:r>
        <w:rPr>
          <w:spacing w:val="80"/>
        </w:rPr>
        <w:t xml:space="preserve"> </w:t>
      </w:r>
      <w:r>
        <w:t>lekom</w:t>
      </w:r>
      <w:r>
        <w:rPr>
          <w:spacing w:val="80"/>
        </w:rPr>
        <w:t xml:space="preserve"> </w:t>
      </w:r>
      <w:r>
        <w:t>Cineset</w:t>
      </w:r>
      <w:r>
        <w:rPr>
          <w:spacing w:val="80"/>
        </w:rPr>
        <w:t xml:space="preserve"> </w:t>
      </w:r>
      <w:r>
        <w:t>se</w:t>
      </w:r>
      <w:r>
        <w:rPr>
          <w:spacing w:val="80"/>
        </w:rPr>
        <w:t xml:space="preserve"> </w:t>
      </w:r>
      <w:r>
        <w:t>ne</w:t>
      </w:r>
      <w:r>
        <w:rPr>
          <w:spacing w:val="80"/>
        </w:rPr>
        <w:t xml:space="preserve"> </w:t>
      </w:r>
      <w:r>
        <w:t>sme</w:t>
      </w:r>
      <w:r>
        <w:rPr>
          <w:spacing w:val="80"/>
        </w:rPr>
        <w:t xml:space="preserve"> </w:t>
      </w:r>
      <w:r>
        <w:t>započeti</w:t>
      </w:r>
      <w:r>
        <w:rPr>
          <w:spacing w:val="80"/>
        </w:rPr>
        <w:t xml:space="preserve"> </w:t>
      </w:r>
      <w:r>
        <w:t>kod</w:t>
      </w:r>
      <w:r>
        <w:rPr>
          <w:spacing w:val="80"/>
        </w:rPr>
        <w:t xml:space="preserve"> </w:t>
      </w:r>
      <w:r>
        <w:t>pacijenata</w:t>
      </w:r>
      <w:r>
        <w:rPr>
          <w:spacing w:val="80"/>
        </w:rPr>
        <w:t xml:space="preserve"> </w:t>
      </w:r>
      <w:r>
        <w:t>sa</w:t>
      </w:r>
      <w:r>
        <w:rPr>
          <w:spacing w:val="80"/>
        </w:rPr>
        <w:t xml:space="preserve"> </w:t>
      </w:r>
      <w:r>
        <w:t>koncentracijom</w:t>
      </w:r>
      <w:r>
        <w:rPr>
          <w:spacing w:val="80"/>
        </w:rPr>
        <w:t xml:space="preserve"> </w:t>
      </w:r>
      <w:r>
        <w:t>kalcijuma</w:t>
      </w:r>
      <w:r>
        <w:rPr>
          <w:spacing w:val="80"/>
        </w:rPr>
        <w:t xml:space="preserve"> </w:t>
      </w:r>
      <w:r>
        <w:t>u</w:t>
      </w:r>
      <w:r>
        <w:rPr>
          <w:spacing w:val="80"/>
        </w:rPr>
        <w:t xml:space="preserve"> </w:t>
      </w:r>
      <w:r>
        <w:t>serumu (korigovana za albumin) ispod donje granice referentnih vrednosti.</w:t>
      </w:r>
    </w:p>
    <w:p w14:paraId="5747F907" w14:textId="77777777" w:rsidR="00712CF5" w:rsidRDefault="00787E6B">
      <w:pPr>
        <w:pStyle w:val="BodyText"/>
        <w:spacing w:before="251"/>
        <w:ind w:right="140"/>
        <w:jc w:val="both"/>
      </w:pPr>
      <w:r>
        <w:t xml:space="preserve">Kod pacijenata sa hroničnom bolešću bubrega na dijalizi koji su bili na terapiji sinakalcetom, otprilike 30 % pacijenata imalo je najmanje jednu vrednost koncentracije kalcijuma u serumu manju od 7,5 mg/dL (1,9 </w:t>
      </w:r>
      <w:r>
        <w:rPr>
          <w:spacing w:val="-2"/>
        </w:rPr>
        <w:t>mmol/L).</w:t>
      </w:r>
    </w:p>
    <w:p w14:paraId="5747F908" w14:textId="77777777" w:rsidR="00712CF5" w:rsidRDefault="00712CF5">
      <w:pPr>
        <w:pStyle w:val="BodyText"/>
        <w:spacing w:before="1"/>
        <w:ind w:left="0"/>
      </w:pPr>
    </w:p>
    <w:p w14:paraId="5747F909" w14:textId="77777777" w:rsidR="00712CF5" w:rsidRDefault="00787E6B">
      <w:pPr>
        <w:ind w:left="140"/>
        <w:jc w:val="both"/>
        <w:rPr>
          <w:i/>
        </w:rPr>
      </w:pPr>
      <w:r>
        <w:rPr>
          <w:i/>
        </w:rPr>
        <w:t>Pedijatrijska</w:t>
      </w:r>
      <w:r>
        <w:rPr>
          <w:i/>
          <w:spacing w:val="-13"/>
        </w:rPr>
        <w:t xml:space="preserve"> </w:t>
      </w:r>
      <w:r>
        <w:rPr>
          <w:i/>
          <w:spacing w:val="-2"/>
        </w:rPr>
        <w:t>populacija</w:t>
      </w:r>
    </w:p>
    <w:p w14:paraId="5747F90A" w14:textId="77777777" w:rsidR="00712CF5" w:rsidRDefault="00787E6B">
      <w:pPr>
        <w:pStyle w:val="BodyText"/>
        <w:spacing w:before="1"/>
        <w:ind w:right="137"/>
        <w:jc w:val="both"/>
      </w:pPr>
      <w:r>
        <w:t>Terapija lekom Cineset se sme započeti samo za lečenje sekundarnog hiperparatireoidizma kod dece uzrasta od</w:t>
      </w:r>
      <w:r>
        <w:rPr>
          <w:spacing w:val="-4"/>
        </w:rPr>
        <w:t xml:space="preserve"> </w:t>
      </w:r>
      <w:r>
        <w:t>≥</w:t>
      </w:r>
      <w:r>
        <w:rPr>
          <w:spacing w:val="-1"/>
        </w:rPr>
        <w:t xml:space="preserve"> </w:t>
      </w:r>
      <w:r>
        <w:t>3</w:t>
      </w:r>
      <w:r>
        <w:rPr>
          <w:spacing w:val="-2"/>
        </w:rPr>
        <w:t xml:space="preserve"> </w:t>
      </w:r>
      <w:r>
        <w:t>godine</w:t>
      </w:r>
      <w:r>
        <w:rPr>
          <w:spacing w:val="-1"/>
        </w:rPr>
        <w:t xml:space="preserve"> </w:t>
      </w:r>
      <w:r>
        <w:t>sa</w:t>
      </w:r>
      <w:r>
        <w:rPr>
          <w:spacing w:val="-1"/>
        </w:rPr>
        <w:t xml:space="preserve"> </w:t>
      </w:r>
      <w:r>
        <w:t>završnim</w:t>
      </w:r>
      <w:r>
        <w:rPr>
          <w:spacing w:val="-1"/>
        </w:rPr>
        <w:t xml:space="preserve"> </w:t>
      </w:r>
      <w:r>
        <w:t>stadijumom</w:t>
      </w:r>
      <w:r>
        <w:rPr>
          <w:spacing w:val="-7"/>
        </w:rPr>
        <w:t xml:space="preserve"> </w:t>
      </w:r>
      <w:r>
        <w:t>bolesti</w:t>
      </w:r>
      <w:r>
        <w:rPr>
          <w:spacing w:val="-1"/>
        </w:rPr>
        <w:t xml:space="preserve"> </w:t>
      </w:r>
      <w:r>
        <w:t>bubrega</w:t>
      </w:r>
      <w:r>
        <w:rPr>
          <w:spacing w:val="-1"/>
        </w:rPr>
        <w:t xml:space="preserve"> </w:t>
      </w:r>
      <w:r>
        <w:t>na</w:t>
      </w:r>
      <w:r>
        <w:rPr>
          <w:spacing w:val="-1"/>
        </w:rPr>
        <w:t xml:space="preserve"> </w:t>
      </w:r>
      <w:r>
        <w:t>terapiji</w:t>
      </w:r>
      <w:r>
        <w:rPr>
          <w:spacing w:val="-2"/>
        </w:rPr>
        <w:t xml:space="preserve"> </w:t>
      </w:r>
      <w:r>
        <w:t>održavanja</w:t>
      </w:r>
      <w:r>
        <w:rPr>
          <w:spacing w:val="-2"/>
        </w:rPr>
        <w:t xml:space="preserve"> </w:t>
      </w:r>
      <w:r>
        <w:t>dijalizom, kod</w:t>
      </w:r>
      <w:r>
        <w:rPr>
          <w:spacing w:val="-4"/>
        </w:rPr>
        <w:t xml:space="preserve"> </w:t>
      </w:r>
      <w:r>
        <w:t>kojih</w:t>
      </w:r>
      <w:r>
        <w:rPr>
          <w:spacing w:val="-4"/>
        </w:rPr>
        <w:t xml:space="preserve"> </w:t>
      </w:r>
      <w:r>
        <w:t>sekundarni HPT nije adekvatno kontrolisan standardnim načinom lečenja, a vrednost koncentracije kalcijuma u serumu je u gornjem rasponu ili iznad referentnog intervala specifičnog za uzrast.</w:t>
      </w:r>
    </w:p>
    <w:p w14:paraId="5747F90B" w14:textId="77777777" w:rsidR="00712CF5" w:rsidRDefault="00712CF5">
      <w:pPr>
        <w:pStyle w:val="BodyText"/>
        <w:spacing w:before="2"/>
        <w:ind w:left="0"/>
      </w:pPr>
    </w:p>
    <w:p w14:paraId="5747F90C" w14:textId="77777777" w:rsidR="00712CF5" w:rsidRDefault="00787E6B">
      <w:pPr>
        <w:pStyle w:val="BodyText"/>
        <w:spacing w:before="1"/>
        <w:ind w:right="140"/>
        <w:jc w:val="both"/>
      </w:pPr>
      <w:r>
        <w:t>Potrebno je pažljivo pratiti koncentraciju kalcijuma u serumu (videti odeljak 4.2) i ostvariti dobru saradnju pacijenta tokom terapije sinakalcetom. Nemojte započinjati terapiju sinakalcetom ili povećati dozu ukoliko niste sigurni da je moguće ostvariti dobru saradnja sa pacijentom.</w:t>
      </w:r>
    </w:p>
    <w:p w14:paraId="5747F90D" w14:textId="77777777" w:rsidR="00712CF5" w:rsidRDefault="00787E6B">
      <w:pPr>
        <w:pStyle w:val="BodyText"/>
        <w:spacing w:before="249"/>
        <w:ind w:right="143"/>
        <w:jc w:val="both"/>
      </w:pPr>
      <w:r>
        <w:t>Pre nego što započnete terapiju sinakalcetom i za vreme trajanja terapije, razmotrite rizike i koristi lečenja kao i sposobnost pacijenta da se pridržava preporuka za praćenje i zbrinjavanje rizika od hipokalcemije.</w:t>
      </w:r>
    </w:p>
    <w:p w14:paraId="5747F90E" w14:textId="77777777" w:rsidR="00712CF5" w:rsidRDefault="00787E6B">
      <w:pPr>
        <w:pStyle w:val="BodyText"/>
        <w:spacing w:before="252"/>
        <w:ind w:right="139"/>
        <w:jc w:val="both"/>
      </w:pPr>
      <w:r>
        <w:t>Informišite</w:t>
      </w:r>
      <w:r>
        <w:rPr>
          <w:spacing w:val="-1"/>
        </w:rPr>
        <w:t xml:space="preserve"> </w:t>
      </w:r>
      <w:r>
        <w:t>pedijatrijske pacijente</w:t>
      </w:r>
      <w:r>
        <w:rPr>
          <w:spacing w:val="-1"/>
        </w:rPr>
        <w:t xml:space="preserve"> </w:t>
      </w:r>
      <w:r>
        <w:t>i/ili njihove</w:t>
      </w:r>
      <w:r>
        <w:rPr>
          <w:spacing w:val="-2"/>
        </w:rPr>
        <w:t xml:space="preserve"> </w:t>
      </w:r>
      <w:r>
        <w:t>staratelje o simptomima</w:t>
      </w:r>
      <w:r>
        <w:rPr>
          <w:spacing w:val="-2"/>
        </w:rPr>
        <w:t xml:space="preserve"> </w:t>
      </w:r>
      <w:r>
        <w:t>hipokalcemije i važnosti</w:t>
      </w:r>
      <w:r>
        <w:rPr>
          <w:spacing w:val="-1"/>
        </w:rPr>
        <w:t xml:space="preserve"> </w:t>
      </w:r>
      <w:r>
        <w:t>pridržavanja uputstva za kontrolu vrednosti koncentracije kalcijuma u serumu, kao i o doziranju i načinu primene.</w:t>
      </w:r>
    </w:p>
    <w:p w14:paraId="5747F90F" w14:textId="77777777" w:rsidR="00712CF5" w:rsidRDefault="00712CF5">
      <w:pPr>
        <w:pStyle w:val="BodyText"/>
        <w:jc w:val="both"/>
        <w:sectPr w:rsidR="00712CF5">
          <w:pgSz w:w="11910" w:h="16840"/>
          <w:pgMar w:top="820" w:right="992" w:bottom="1500" w:left="992" w:header="0" w:footer="1311" w:gutter="0"/>
          <w:cols w:space="720"/>
        </w:sectPr>
      </w:pPr>
    </w:p>
    <w:p w14:paraId="5747F910" w14:textId="77777777" w:rsidR="00712CF5" w:rsidRDefault="00787E6B">
      <w:pPr>
        <w:spacing w:before="74"/>
        <w:ind w:left="140"/>
        <w:jc w:val="both"/>
        <w:rPr>
          <w:i/>
        </w:rPr>
      </w:pPr>
      <w:r>
        <w:rPr>
          <w:i/>
        </w:rPr>
        <w:lastRenderedPageBreak/>
        <w:t>Pacijenti</w:t>
      </w:r>
      <w:r>
        <w:rPr>
          <w:i/>
          <w:spacing w:val="-2"/>
        </w:rPr>
        <w:t xml:space="preserve"> </w:t>
      </w:r>
      <w:r>
        <w:rPr>
          <w:i/>
        </w:rPr>
        <w:t>sa</w:t>
      </w:r>
      <w:r>
        <w:rPr>
          <w:i/>
          <w:spacing w:val="-3"/>
        </w:rPr>
        <w:t xml:space="preserve"> </w:t>
      </w:r>
      <w:r>
        <w:rPr>
          <w:i/>
        </w:rPr>
        <w:t>hroničnom</w:t>
      </w:r>
      <w:r>
        <w:rPr>
          <w:i/>
          <w:spacing w:val="-5"/>
        </w:rPr>
        <w:t xml:space="preserve"> </w:t>
      </w:r>
      <w:r>
        <w:rPr>
          <w:i/>
        </w:rPr>
        <w:t>bolešću</w:t>
      </w:r>
      <w:r>
        <w:rPr>
          <w:i/>
          <w:spacing w:val="45"/>
        </w:rPr>
        <w:t xml:space="preserve"> </w:t>
      </w:r>
      <w:r>
        <w:rPr>
          <w:i/>
        </w:rPr>
        <w:t>bubrega</w:t>
      </w:r>
      <w:r>
        <w:rPr>
          <w:i/>
          <w:spacing w:val="-5"/>
        </w:rPr>
        <w:t xml:space="preserve"> </w:t>
      </w:r>
      <w:r>
        <w:rPr>
          <w:i/>
        </w:rPr>
        <w:t>koji</w:t>
      </w:r>
      <w:r>
        <w:rPr>
          <w:i/>
          <w:spacing w:val="-6"/>
        </w:rPr>
        <w:t xml:space="preserve"> </w:t>
      </w:r>
      <w:r>
        <w:rPr>
          <w:i/>
        </w:rPr>
        <w:t>nisu</w:t>
      </w:r>
      <w:r>
        <w:rPr>
          <w:i/>
          <w:spacing w:val="-5"/>
        </w:rPr>
        <w:t xml:space="preserve"> </w:t>
      </w:r>
      <w:r>
        <w:rPr>
          <w:i/>
        </w:rPr>
        <w:t>na</w:t>
      </w:r>
      <w:r>
        <w:rPr>
          <w:i/>
          <w:spacing w:val="-5"/>
        </w:rPr>
        <w:t xml:space="preserve"> </w:t>
      </w:r>
      <w:r>
        <w:rPr>
          <w:i/>
          <w:spacing w:val="-2"/>
        </w:rPr>
        <w:t>dijalizi</w:t>
      </w:r>
    </w:p>
    <w:p w14:paraId="5747F911" w14:textId="77777777" w:rsidR="00712CF5" w:rsidRDefault="00787E6B">
      <w:pPr>
        <w:pStyle w:val="BodyText"/>
        <w:spacing w:before="2"/>
        <w:ind w:right="140"/>
        <w:jc w:val="both"/>
      </w:pPr>
      <w:r>
        <w:t>Lek Cineset nije indikovan kod pacijenata sa hroničnom bolešću bubrega koji nisu na dijalizi. Ispitivanja su pokazala</w:t>
      </w:r>
      <w:r>
        <w:rPr>
          <w:spacing w:val="-1"/>
        </w:rPr>
        <w:t xml:space="preserve"> </w:t>
      </w:r>
      <w:r>
        <w:t>da pacijenti sa hroničnom bolešću bubrega</w:t>
      </w:r>
      <w:r>
        <w:rPr>
          <w:spacing w:val="-1"/>
        </w:rPr>
        <w:t xml:space="preserve"> </w:t>
      </w:r>
      <w:r>
        <w:t>koji još nisu na</w:t>
      </w:r>
      <w:r>
        <w:rPr>
          <w:spacing w:val="-1"/>
        </w:rPr>
        <w:t xml:space="preserve"> </w:t>
      </w:r>
      <w:r>
        <w:t>dijalizi,</w:t>
      </w:r>
      <w:r>
        <w:rPr>
          <w:spacing w:val="-1"/>
        </w:rPr>
        <w:t xml:space="preserve"> </w:t>
      </w:r>
      <w:r>
        <w:t>a</w:t>
      </w:r>
      <w:r>
        <w:rPr>
          <w:spacing w:val="-1"/>
        </w:rPr>
        <w:t xml:space="preserve"> </w:t>
      </w:r>
      <w:r>
        <w:t>lečeni</w:t>
      </w:r>
      <w:r>
        <w:rPr>
          <w:spacing w:val="-1"/>
        </w:rPr>
        <w:t xml:space="preserve"> </w:t>
      </w:r>
      <w:r>
        <w:t>su</w:t>
      </w:r>
      <w:r>
        <w:rPr>
          <w:spacing w:val="-1"/>
        </w:rPr>
        <w:t xml:space="preserve"> </w:t>
      </w:r>
      <w:r>
        <w:t>cinakalcetom, imaju povećan rizik za hipokalcemiju (koncentracija kalcijuma u serumu &lt; 8,4 mg/dL [2,1 mmol/L]) u poređenju</w:t>
      </w:r>
      <w:r>
        <w:rPr>
          <w:spacing w:val="40"/>
        </w:rPr>
        <w:t xml:space="preserve"> </w:t>
      </w:r>
      <w:r>
        <w:t>sa pacijentima lečenim sinakalcetom sa hroničnom bolešću bubrega koji su na dijalizi, što može biti</w:t>
      </w:r>
      <w:r>
        <w:rPr>
          <w:spacing w:val="40"/>
        </w:rPr>
        <w:t xml:space="preserve"> </w:t>
      </w:r>
      <w:r>
        <w:t>posledica manje početne vrednosti kalcijuma i/ili postojanja rezidualne funkcije bubrega.</w:t>
      </w:r>
    </w:p>
    <w:p w14:paraId="5747F912" w14:textId="77777777" w:rsidR="00712CF5" w:rsidRDefault="00787E6B">
      <w:pPr>
        <w:spacing w:before="252"/>
        <w:ind w:left="140"/>
        <w:rPr>
          <w:i/>
        </w:rPr>
      </w:pPr>
      <w:r>
        <w:rPr>
          <w:i/>
          <w:spacing w:val="-2"/>
        </w:rPr>
        <w:t>Napadi</w:t>
      </w:r>
    </w:p>
    <w:p w14:paraId="5747F913" w14:textId="77777777" w:rsidR="00712CF5" w:rsidRDefault="00787E6B">
      <w:pPr>
        <w:pStyle w:val="BodyText"/>
        <w:spacing w:before="1"/>
        <w:ind w:right="138"/>
        <w:jc w:val="both"/>
      </w:pPr>
      <w:r>
        <w:t>Slučajevi napada zabeleženi su kod pacijenata koji su bili na terapiji sinakalcetom (videti odeljak 4.8). Prag za pojavu napada smanjen je kod značajnih smanjenja koncentracije kalcijuma u serumu. Zbog toga je potrebno pažljivo praćenje vrednosti koncentracije kalcijuma u serumu kod pacijenata koji se leče sinakalcetom, a koji u anamnezi potvrđuju da su imali napade.</w:t>
      </w:r>
    </w:p>
    <w:p w14:paraId="5747F914" w14:textId="77777777" w:rsidR="00712CF5" w:rsidRDefault="00787E6B">
      <w:pPr>
        <w:pStyle w:val="BodyText"/>
        <w:spacing w:before="251"/>
        <w:jc w:val="both"/>
      </w:pPr>
      <w:r>
        <w:t>Hipotenzija</w:t>
      </w:r>
      <w:r>
        <w:rPr>
          <w:spacing w:val="-7"/>
        </w:rPr>
        <w:t xml:space="preserve"> </w:t>
      </w:r>
      <w:r>
        <w:t>i/ili</w:t>
      </w:r>
      <w:r>
        <w:rPr>
          <w:spacing w:val="-7"/>
        </w:rPr>
        <w:t xml:space="preserve"> </w:t>
      </w:r>
      <w:r>
        <w:t>pogoršanje</w:t>
      </w:r>
      <w:r>
        <w:rPr>
          <w:spacing w:val="-6"/>
        </w:rPr>
        <w:t xml:space="preserve"> </w:t>
      </w:r>
      <w:r>
        <w:t>srčane</w:t>
      </w:r>
      <w:r>
        <w:rPr>
          <w:spacing w:val="-5"/>
        </w:rPr>
        <w:t xml:space="preserve"> </w:t>
      </w:r>
      <w:r>
        <w:rPr>
          <w:spacing w:val="-2"/>
        </w:rPr>
        <w:t>insuficijencije</w:t>
      </w:r>
    </w:p>
    <w:p w14:paraId="5747F915" w14:textId="77777777" w:rsidR="00712CF5" w:rsidRDefault="00787E6B">
      <w:pPr>
        <w:pStyle w:val="BodyText"/>
        <w:spacing w:before="1"/>
        <w:ind w:right="139"/>
        <w:jc w:val="both"/>
      </w:pPr>
      <w:r>
        <w:t>Slučajevi hipotenzije i/ili pogoršanja srčane insuficijencije zabeleženi su kod pacijenata sa oštećenom funkcijom</w:t>
      </w:r>
      <w:r>
        <w:rPr>
          <w:spacing w:val="-1"/>
        </w:rPr>
        <w:t xml:space="preserve"> </w:t>
      </w:r>
      <w:r>
        <w:t>srca</w:t>
      </w:r>
      <w:r>
        <w:rPr>
          <w:spacing w:val="-1"/>
        </w:rPr>
        <w:t xml:space="preserve"> </w:t>
      </w:r>
      <w:r>
        <w:t>kod</w:t>
      </w:r>
      <w:r>
        <w:rPr>
          <w:spacing w:val="-2"/>
        </w:rPr>
        <w:t xml:space="preserve"> </w:t>
      </w:r>
      <w:r>
        <w:t>kojih</w:t>
      </w:r>
      <w:r>
        <w:rPr>
          <w:spacing w:val="-2"/>
        </w:rPr>
        <w:t xml:space="preserve"> </w:t>
      </w:r>
      <w:r>
        <w:t>nije</w:t>
      </w:r>
      <w:r>
        <w:rPr>
          <w:spacing w:val="-1"/>
        </w:rPr>
        <w:t xml:space="preserve"> </w:t>
      </w:r>
      <w:r>
        <w:t>bilo</w:t>
      </w:r>
      <w:r>
        <w:rPr>
          <w:spacing w:val="-2"/>
        </w:rPr>
        <w:t xml:space="preserve"> </w:t>
      </w:r>
      <w:r>
        <w:t>moguće</w:t>
      </w:r>
      <w:r>
        <w:rPr>
          <w:spacing w:val="-1"/>
        </w:rPr>
        <w:t xml:space="preserve"> </w:t>
      </w:r>
      <w:r>
        <w:t>u</w:t>
      </w:r>
      <w:r>
        <w:rPr>
          <w:spacing w:val="-2"/>
        </w:rPr>
        <w:t xml:space="preserve"> </w:t>
      </w:r>
      <w:r>
        <w:t>potpunosti</w:t>
      </w:r>
      <w:r>
        <w:rPr>
          <w:spacing w:val="-1"/>
        </w:rPr>
        <w:t xml:space="preserve"> </w:t>
      </w:r>
      <w:r>
        <w:t>isključiti</w:t>
      </w:r>
      <w:r>
        <w:rPr>
          <w:spacing w:val="-1"/>
        </w:rPr>
        <w:t xml:space="preserve"> </w:t>
      </w:r>
      <w:r>
        <w:t>uzročnu</w:t>
      </w:r>
      <w:r>
        <w:rPr>
          <w:spacing w:val="-2"/>
        </w:rPr>
        <w:t xml:space="preserve"> </w:t>
      </w:r>
      <w:r>
        <w:t>povezanost</w:t>
      </w:r>
      <w:r>
        <w:rPr>
          <w:spacing w:val="-1"/>
        </w:rPr>
        <w:t xml:space="preserve"> </w:t>
      </w:r>
      <w:r>
        <w:t>sa</w:t>
      </w:r>
      <w:r>
        <w:rPr>
          <w:spacing w:val="-2"/>
        </w:rPr>
        <w:t xml:space="preserve"> </w:t>
      </w:r>
      <w:r>
        <w:t>sinakalcetom</w:t>
      </w:r>
      <w:r>
        <w:rPr>
          <w:spacing w:val="-2"/>
        </w:rPr>
        <w:t xml:space="preserve"> </w:t>
      </w:r>
      <w:r>
        <w:t>i</w:t>
      </w:r>
      <w:r>
        <w:rPr>
          <w:spacing w:val="-2"/>
        </w:rPr>
        <w:t xml:space="preserve"> </w:t>
      </w:r>
      <w:r>
        <w:t>može biti posredovana smanjenjem vrednosti koncentracije kalcijuma u serumu (videti odeljak 4.8).</w:t>
      </w:r>
    </w:p>
    <w:p w14:paraId="5747F916" w14:textId="77777777" w:rsidR="00712CF5" w:rsidRDefault="00712CF5">
      <w:pPr>
        <w:pStyle w:val="BodyText"/>
        <w:spacing w:before="1"/>
        <w:ind w:left="0"/>
      </w:pPr>
    </w:p>
    <w:p w14:paraId="5747F917" w14:textId="77777777" w:rsidR="00712CF5" w:rsidRDefault="00787E6B">
      <w:pPr>
        <w:pStyle w:val="BodyText"/>
        <w:jc w:val="both"/>
      </w:pPr>
      <w:r>
        <w:t>Istovremena</w:t>
      </w:r>
      <w:r>
        <w:rPr>
          <w:spacing w:val="-5"/>
        </w:rPr>
        <w:t xml:space="preserve"> </w:t>
      </w:r>
      <w:r>
        <w:t>primena</w:t>
      </w:r>
      <w:r>
        <w:rPr>
          <w:spacing w:val="-10"/>
        </w:rPr>
        <w:t xml:space="preserve"> </w:t>
      </w:r>
      <w:r>
        <w:t>sa</w:t>
      </w:r>
      <w:r>
        <w:rPr>
          <w:spacing w:val="-5"/>
        </w:rPr>
        <w:t xml:space="preserve"> </w:t>
      </w:r>
      <w:r>
        <w:t>drugim</w:t>
      </w:r>
      <w:r>
        <w:rPr>
          <w:spacing w:val="-5"/>
        </w:rPr>
        <w:t xml:space="preserve"> </w:t>
      </w:r>
      <w:r>
        <w:rPr>
          <w:spacing w:val="-2"/>
        </w:rPr>
        <w:t>lekovima</w:t>
      </w:r>
    </w:p>
    <w:p w14:paraId="5747F918" w14:textId="77777777" w:rsidR="00712CF5" w:rsidRDefault="00787E6B">
      <w:pPr>
        <w:pStyle w:val="BodyText"/>
        <w:spacing w:before="1"/>
        <w:ind w:right="140"/>
        <w:jc w:val="both"/>
      </w:pPr>
      <w:r>
        <w:t>Lek Cineset primenite uz oprez kod pacijenata koji primaju bilo koje druge lekove za koje je poznato da smanjuju koncentraciju kalcijuma u serumu. Pažljivo pratite koncentraciju kalcijuma u serumu (videti</w:t>
      </w:r>
      <w:r>
        <w:rPr>
          <w:spacing w:val="40"/>
        </w:rPr>
        <w:t xml:space="preserve"> </w:t>
      </w:r>
      <w:r>
        <w:t>odeljak 4.5).</w:t>
      </w:r>
    </w:p>
    <w:p w14:paraId="5747F919" w14:textId="77777777" w:rsidR="00712CF5" w:rsidRDefault="00787E6B">
      <w:pPr>
        <w:pStyle w:val="BodyText"/>
        <w:spacing w:before="249"/>
        <w:ind w:right="147"/>
        <w:jc w:val="both"/>
      </w:pPr>
      <w:r>
        <w:t>Pacijentima koji uzimaju lek Cineset ne sme se propisivati etelkalcetid. Istovremena primena može imati za posledicu tešku hipokalcemiju.</w:t>
      </w:r>
    </w:p>
    <w:p w14:paraId="5747F91A" w14:textId="77777777" w:rsidR="00712CF5" w:rsidRDefault="00712CF5">
      <w:pPr>
        <w:pStyle w:val="BodyText"/>
        <w:spacing w:before="4"/>
        <w:ind w:left="0"/>
      </w:pPr>
    </w:p>
    <w:p w14:paraId="5747F91B" w14:textId="77777777" w:rsidR="00712CF5" w:rsidRDefault="00787E6B">
      <w:pPr>
        <w:spacing w:before="1" w:line="251" w:lineRule="exact"/>
        <w:ind w:left="140"/>
        <w:rPr>
          <w:i/>
        </w:rPr>
      </w:pPr>
      <w:r>
        <w:rPr>
          <w:i/>
          <w:spacing w:val="-2"/>
        </w:rPr>
        <w:t>Opšte</w:t>
      </w:r>
    </w:p>
    <w:p w14:paraId="5747F91C" w14:textId="574546BB" w:rsidR="00712CF5" w:rsidRDefault="00787E6B">
      <w:pPr>
        <w:pStyle w:val="BodyText"/>
        <w:ind w:right="140"/>
        <w:jc w:val="both"/>
      </w:pPr>
      <w:r>
        <w:t xml:space="preserve">Adinamična koštana bolest može nastati ako je vrednost PTH-a hronično suprimirana za otprilike 1,5 puta iznad gornje referentne vrednosti za iPTH. Ako se vrednost PTH-a smanji ispod preporučenog ciljnog raspona kod pacijenata lečenih lekom Cineset, dozu </w:t>
      </w:r>
      <w:r w:rsidR="00B92774">
        <w:t>s</w:t>
      </w:r>
      <w:r>
        <w:t>inakalceta i/ili sterola vitamina D treba smanjiti ili prekinuti terapiju.</w:t>
      </w:r>
    </w:p>
    <w:p w14:paraId="5747F91D" w14:textId="77777777" w:rsidR="00712CF5" w:rsidRDefault="00712CF5">
      <w:pPr>
        <w:pStyle w:val="BodyText"/>
        <w:ind w:left="0"/>
      </w:pPr>
    </w:p>
    <w:p w14:paraId="5747F91E" w14:textId="77777777" w:rsidR="00712CF5" w:rsidRDefault="00787E6B">
      <w:pPr>
        <w:spacing w:line="251" w:lineRule="exact"/>
        <w:ind w:left="140"/>
        <w:jc w:val="both"/>
        <w:rPr>
          <w:i/>
        </w:rPr>
      </w:pPr>
      <w:r>
        <w:rPr>
          <w:i/>
        </w:rPr>
        <w:t>Vrednost</w:t>
      </w:r>
      <w:r>
        <w:rPr>
          <w:i/>
          <w:spacing w:val="-7"/>
        </w:rPr>
        <w:t xml:space="preserve"> </w:t>
      </w:r>
      <w:r>
        <w:rPr>
          <w:i/>
          <w:spacing w:val="-2"/>
        </w:rPr>
        <w:t>testosterona</w:t>
      </w:r>
    </w:p>
    <w:p w14:paraId="5747F91F" w14:textId="77777777" w:rsidR="00712CF5" w:rsidRDefault="00787E6B">
      <w:pPr>
        <w:pStyle w:val="BodyText"/>
        <w:ind w:right="134"/>
        <w:jc w:val="both"/>
      </w:pPr>
      <w:r>
        <w:t>Vrednost testosterona često je ispod normalnih vrednosti kod pacijenata sa terminalnom bolešću bubrega. U kliničkom</w:t>
      </w:r>
      <w:r>
        <w:rPr>
          <w:spacing w:val="-1"/>
        </w:rPr>
        <w:t xml:space="preserve"> </w:t>
      </w:r>
      <w:r>
        <w:t>ispitivanju kod odraslih pacijenata sa terminalnom</w:t>
      </w:r>
      <w:r>
        <w:rPr>
          <w:spacing w:val="-1"/>
        </w:rPr>
        <w:t xml:space="preserve"> </w:t>
      </w:r>
      <w:r>
        <w:t>bolešću bubrega na dijalizi vrednost slobodnog testosterona nakon 6 meseci lečenja smanjen je 31,3 % (medijana vrednosti) kod pacijenata koji su uzimali sinakalcet i 16,3 % u placebo grupi. Otvorena produžena trogodišnja faza ovog ispitivanja nije pokazala</w:t>
      </w:r>
      <w:r>
        <w:rPr>
          <w:spacing w:val="80"/>
        </w:rPr>
        <w:t xml:space="preserve"> </w:t>
      </w:r>
      <w:r>
        <w:t>dalje smanjenje koncentracije slobodnog i ukupnog testosterona kod pacijenata lečenih sinakalcetom. Klinički značaj smanjenja koncentracije testosterona u serumu nije poznat.</w:t>
      </w:r>
    </w:p>
    <w:p w14:paraId="5747F920" w14:textId="77777777" w:rsidR="00712CF5" w:rsidRDefault="00787E6B">
      <w:pPr>
        <w:spacing w:before="252"/>
        <w:ind w:left="140"/>
        <w:jc w:val="both"/>
        <w:rPr>
          <w:i/>
        </w:rPr>
      </w:pPr>
      <w:r>
        <w:rPr>
          <w:i/>
        </w:rPr>
        <w:t>Oštećenje</w:t>
      </w:r>
      <w:r>
        <w:rPr>
          <w:i/>
          <w:spacing w:val="-9"/>
        </w:rPr>
        <w:t xml:space="preserve"> </w:t>
      </w:r>
      <w:r>
        <w:rPr>
          <w:i/>
        </w:rPr>
        <w:t>funkcije</w:t>
      </w:r>
      <w:r>
        <w:rPr>
          <w:i/>
          <w:spacing w:val="-8"/>
        </w:rPr>
        <w:t xml:space="preserve"> </w:t>
      </w:r>
      <w:r>
        <w:rPr>
          <w:i/>
          <w:spacing w:val="-2"/>
        </w:rPr>
        <w:t>jetre</w:t>
      </w:r>
    </w:p>
    <w:p w14:paraId="5747F921" w14:textId="77777777" w:rsidR="00712CF5" w:rsidRDefault="00787E6B">
      <w:pPr>
        <w:pStyle w:val="BodyText"/>
        <w:spacing w:before="1"/>
        <w:ind w:right="140"/>
        <w:jc w:val="both"/>
      </w:pPr>
      <w:r>
        <w:t>Kako koncentracija sinakalceta u plazmi može biti 2 do 4 puta veća kod pacijenata sa umerenim do teškim oštećenjem funkcije</w:t>
      </w:r>
      <w:r>
        <w:rPr>
          <w:spacing w:val="-2"/>
        </w:rPr>
        <w:t xml:space="preserve"> </w:t>
      </w:r>
      <w:r>
        <w:t>jetre</w:t>
      </w:r>
      <w:r>
        <w:rPr>
          <w:spacing w:val="-2"/>
        </w:rPr>
        <w:t xml:space="preserve"> </w:t>
      </w:r>
      <w:r>
        <w:t>(Child-Pugh klasifikacija), lek</w:t>
      </w:r>
      <w:r>
        <w:rPr>
          <w:spacing w:val="-3"/>
        </w:rPr>
        <w:t xml:space="preserve"> </w:t>
      </w:r>
      <w:r>
        <w:t>Cineset je potrebno primenjivati</w:t>
      </w:r>
      <w:r>
        <w:rPr>
          <w:spacing w:val="-2"/>
        </w:rPr>
        <w:t xml:space="preserve"> </w:t>
      </w:r>
      <w:r>
        <w:t>sa oprezom kod</w:t>
      </w:r>
      <w:r>
        <w:rPr>
          <w:spacing w:val="-1"/>
        </w:rPr>
        <w:t xml:space="preserve"> </w:t>
      </w:r>
      <w:r>
        <w:t>tih pacijenata i lečenje treba pažljivo pratiti (videti odeljke 4.2 i 5.2).</w:t>
      </w:r>
    </w:p>
    <w:p w14:paraId="5747F922" w14:textId="77777777" w:rsidR="00712CF5" w:rsidRDefault="00712CF5">
      <w:pPr>
        <w:pStyle w:val="BodyText"/>
        <w:spacing w:before="1"/>
        <w:ind w:left="0"/>
      </w:pPr>
    </w:p>
    <w:p w14:paraId="5747F923" w14:textId="77777777" w:rsidR="00712CF5" w:rsidRDefault="00787E6B">
      <w:pPr>
        <w:ind w:left="140"/>
        <w:rPr>
          <w:i/>
        </w:rPr>
      </w:pPr>
      <w:r>
        <w:rPr>
          <w:i/>
          <w:spacing w:val="-2"/>
        </w:rPr>
        <w:t>Laktoza</w:t>
      </w:r>
    </w:p>
    <w:p w14:paraId="5747F924" w14:textId="77777777" w:rsidR="00712CF5" w:rsidRDefault="00787E6B">
      <w:pPr>
        <w:pStyle w:val="BodyText"/>
        <w:spacing w:before="4" w:line="237" w:lineRule="auto"/>
      </w:pPr>
      <w:r>
        <w:t>Pacijenti</w:t>
      </w:r>
      <w:r>
        <w:rPr>
          <w:spacing w:val="40"/>
        </w:rPr>
        <w:t xml:space="preserve"> </w:t>
      </w:r>
      <w:r>
        <w:t>sa</w:t>
      </w:r>
      <w:r>
        <w:rPr>
          <w:spacing w:val="40"/>
        </w:rPr>
        <w:t xml:space="preserve"> </w:t>
      </w:r>
      <w:r>
        <w:t>retkim</w:t>
      </w:r>
      <w:r>
        <w:rPr>
          <w:spacing w:val="40"/>
        </w:rPr>
        <w:t xml:space="preserve"> </w:t>
      </w:r>
      <w:r>
        <w:t>naslednim</w:t>
      </w:r>
      <w:r>
        <w:rPr>
          <w:spacing w:val="40"/>
        </w:rPr>
        <w:t xml:space="preserve"> </w:t>
      </w:r>
      <w:r>
        <w:t>poremećajem</w:t>
      </w:r>
      <w:r>
        <w:rPr>
          <w:spacing w:val="40"/>
        </w:rPr>
        <w:t xml:space="preserve"> </w:t>
      </w:r>
      <w:r>
        <w:t>nepodnošenja</w:t>
      </w:r>
      <w:r>
        <w:rPr>
          <w:spacing w:val="40"/>
        </w:rPr>
        <w:t xml:space="preserve"> </w:t>
      </w:r>
      <w:r>
        <w:t>galaktoze,</w:t>
      </w:r>
      <w:r>
        <w:rPr>
          <w:spacing w:val="40"/>
        </w:rPr>
        <w:t xml:space="preserve"> </w:t>
      </w:r>
      <w:r>
        <w:t>potpunim</w:t>
      </w:r>
      <w:r>
        <w:rPr>
          <w:spacing w:val="40"/>
        </w:rPr>
        <w:t xml:space="preserve"> </w:t>
      </w:r>
      <w:r>
        <w:t>nedostatkom</w:t>
      </w:r>
      <w:r>
        <w:rPr>
          <w:spacing w:val="40"/>
        </w:rPr>
        <w:t xml:space="preserve"> </w:t>
      </w:r>
      <w:r>
        <w:t>laktaze</w:t>
      </w:r>
      <w:r>
        <w:rPr>
          <w:spacing w:val="40"/>
        </w:rPr>
        <w:t xml:space="preserve"> </w:t>
      </w:r>
      <w:r>
        <w:t>ili malapsorpcijom glukoze i galaktoze ne bi trebali uzimati ovaj lek.</w:t>
      </w:r>
    </w:p>
    <w:p w14:paraId="5747F925" w14:textId="77777777" w:rsidR="00712CF5" w:rsidRDefault="00712CF5">
      <w:pPr>
        <w:pStyle w:val="BodyText"/>
        <w:spacing w:before="7"/>
        <w:ind w:left="0"/>
      </w:pPr>
    </w:p>
    <w:p w14:paraId="5747F926" w14:textId="77777777" w:rsidR="00712CF5" w:rsidRDefault="00787E6B">
      <w:pPr>
        <w:pStyle w:val="Heading2"/>
        <w:numPr>
          <w:ilvl w:val="1"/>
          <w:numId w:val="3"/>
        </w:numPr>
        <w:tabs>
          <w:tab w:val="left" w:pos="522"/>
        </w:tabs>
        <w:ind w:left="522" w:hanging="382"/>
      </w:pPr>
      <w:r>
        <w:t>Interakcije</w:t>
      </w:r>
      <w:r>
        <w:rPr>
          <w:spacing w:val="-6"/>
        </w:rPr>
        <w:t xml:space="preserve"> </w:t>
      </w:r>
      <w:r>
        <w:t>sa</w:t>
      </w:r>
      <w:r>
        <w:rPr>
          <w:spacing w:val="-5"/>
        </w:rPr>
        <w:t xml:space="preserve"> </w:t>
      </w:r>
      <w:r>
        <w:t>drugim</w:t>
      </w:r>
      <w:r>
        <w:rPr>
          <w:spacing w:val="-6"/>
        </w:rPr>
        <w:t xml:space="preserve"> </w:t>
      </w:r>
      <w:r>
        <w:t>lekovima</w:t>
      </w:r>
      <w:r>
        <w:rPr>
          <w:spacing w:val="-5"/>
        </w:rPr>
        <w:t xml:space="preserve"> </w:t>
      </w:r>
      <w:r>
        <w:t>i</w:t>
      </w:r>
      <w:r>
        <w:rPr>
          <w:spacing w:val="-6"/>
        </w:rPr>
        <w:t xml:space="preserve"> </w:t>
      </w:r>
      <w:r>
        <w:t>druge</w:t>
      </w:r>
      <w:r>
        <w:rPr>
          <w:spacing w:val="-5"/>
        </w:rPr>
        <w:t xml:space="preserve"> </w:t>
      </w:r>
      <w:r>
        <w:t>vrste</w:t>
      </w:r>
      <w:r>
        <w:rPr>
          <w:spacing w:val="-5"/>
        </w:rPr>
        <w:t xml:space="preserve"> </w:t>
      </w:r>
      <w:r>
        <w:rPr>
          <w:spacing w:val="-2"/>
        </w:rPr>
        <w:t>interakcija</w:t>
      </w:r>
    </w:p>
    <w:p w14:paraId="5747F927" w14:textId="77777777" w:rsidR="00712CF5" w:rsidRDefault="00787E6B">
      <w:pPr>
        <w:pStyle w:val="BodyText"/>
        <w:spacing w:before="246"/>
        <w:jc w:val="both"/>
      </w:pPr>
      <w:r>
        <w:rPr>
          <w:u w:val="single"/>
        </w:rPr>
        <w:t>Lekovi</w:t>
      </w:r>
      <w:r>
        <w:rPr>
          <w:spacing w:val="-8"/>
          <w:u w:val="single"/>
        </w:rPr>
        <w:t xml:space="preserve"> </w:t>
      </w:r>
      <w:r>
        <w:rPr>
          <w:u w:val="single"/>
        </w:rPr>
        <w:t>sa</w:t>
      </w:r>
      <w:r>
        <w:rPr>
          <w:spacing w:val="-2"/>
          <w:u w:val="single"/>
        </w:rPr>
        <w:t xml:space="preserve"> </w:t>
      </w:r>
      <w:r>
        <w:rPr>
          <w:u w:val="single"/>
        </w:rPr>
        <w:t>poznatim</w:t>
      </w:r>
      <w:r>
        <w:rPr>
          <w:spacing w:val="-2"/>
          <w:u w:val="single"/>
        </w:rPr>
        <w:t xml:space="preserve"> </w:t>
      </w:r>
      <w:r>
        <w:rPr>
          <w:u w:val="single"/>
        </w:rPr>
        <w:t>efektom</w:t>
      </w:r>
      <w:r>
        <w:rPr>
          <w:spacing w:val="-9"/>
          <w:u w:val="single"/>
        </w:rPr>
        <w:t xml:space="preserve"> </w:t>
      </w:r>
      <w:r>
        <w:rPr>
          <w:u w:val="single"/>
        </w:rPr>
        <w:t>na</w:t>
      </w:r>
      <w:r>
        <w:rPr>
          <w:spacing w:val="-4"/>
          <w:u w:val="single"/>
        </w:rPr>
        <w:t xml:space="preserve"> </w:t>
      </w:r>
      <w:r>
        <w:rPr>
          <w:u w:val="single"/>
        </w:rPr>
        <w:t>smanjenje</w:t>
      </w:r>
      <w:r>
        <w:rPr>
          <w:spacing w:val="-7"/>
          <w:u w:val="single"/>
        </w:rPr>
        <w:t xml:space="preserve"> </w:t>
      </w:r>
      <w:r>
        <w:rPr>
          <w:u w:val="single"/>
        </w:rPr>
        <w:t>koncentracije</w:t>
      </w:r>
      <w:r>
        <w:rPr>
          <w:spacing w:val="-8"/>
          <w:u w:val="single"/>
        </w:rPr>
        <w:t xml:space="preserve"> </w:t>
      </w:r>
      <w:r>
        <w:rPr>
          <w:u w:val="single"/>
        </w:rPr>
        <w:t>kalcijuma</w:t>
      </w:r>
      <w:r>
        <w:rPr>
          <w:spacing w:val="-7"/>
          <w:u w:val="single"/>
        </w:rPr>
        <w:t xml:space="preserve"> </w:t>
      </w:r>
      <w:r>
        <w:rPr>
          <w:u w:val="single"/>
        </w:rPr>
        <w:t>u</w:t>
      </w:r>
      <w:r>
        <w:rPr>
          <w:spacing w:val="-7"/>
          <w:u w:val="single"/>
        </w:rPr>
        <w:t xml:space="preserve"> </w:t>
      </w:r>
      <w:r>
        <w:rPr>
          <w:spacing w:val="-2"/>
          <w:u w:val="single"/>
        </w:rPr>
        <w:t>serumu</w:t>
      </w:r>
    </w:p>
    <w:p w14:paraId="5747F928" w14:textId="77777777" w:rsidR="00712CF5" w:rsidRDefault="00712CF5">
      <w:pPr>
        <w:pStyle w:val="BodyText"/>
        <w:jc w:val="both"/>
        <w:sectPr w:rsidR="00712CF5">
          <w:pgSz w:w="11910" w:h="16840"/>
          <w:pgMar w:top="1060" w:right="992" w:bottom="1500" w:left="992" w:header="0" w:footer="1311" w:gutter="0"/>
          <w:cols w:space="720"/>
        </w:sectPr>
      </w:pPr>
    </w:p>
    <w:p w14:paraId="5747F929" w14:textId="77777777" w:rsidR="00712CF5" w:rsidRDefault="00787E6B">
      <w:pPr>
        <w:pStyle w:val="BodyText"/>
        <w:spacing w:before="65"/>
        <w:ind w:right="145"/>
        <w:jc w:val="both"/>
      </w:pPr>
      <w:r>
        <w:lastRenderedPageBreak/>
        <w:t>Istovremena primena drugih lekova za koje je poznato da smanjuju vrednosti koncentracije kalcijuma u serumu i sinakalceta može rezultirati povećanim rizikom od hipokalcemije (videti odlejak 4.4). Pacijentima koji uzimaju lek Cineset ne sme se dati etelkalcetid (videti odeljak 4.4).</w:t>
      </w:r>
    </w:p>
    <w:p w14:paraId="5747F92A" w14:textId="77777777" w:rsidR="00712CF5" w:rsidRDefault="00787E6B">
      <w:pPr>
        <w:pStyle w:val="BodyText"/>
        <w:spacing w:before="249"/>
        <w:jc w:val="both"/>
      </w:pPr>
      <w:r>
        <w:rPr>
          <w:u w:val="single"/>
        </w:rPr>
        <w:t>Dejstvo</w:t>
      </w:r>
      <w:r>
        <w:rPr>
          <w:spacing w:val="-8"/>
          <w:u w:val="single"/>
        </w:rPr>
        <w:t xml:space="preserve"> </w:t>
      </w:r>
      <w:r>
        <w:rPr>
          <w:u w:val="single"/>
        </w:rPr>
        <w:t>drugih</w:t>
      </w:r>
      <w:r>
        <w:rPr>
          <w:spacing w:val="-5"/>
          <w:u w:val="single"/>
        </w:rPr>
        <w:t xml:space="preserve"> </w:t>
      </w:r>
      <w:r>
        <w:rPr>
          <w:u w:val="single"/>
        </w:rPr>
        <w:t>lekova</w:t>
      </w:r>
      <w:r>
        <w:rPr>
          <w:spacing w:val="-5"/>
          <w:u w:val="single"/>
        </w:rPr>
        <w:t xml:space="preserve"> </w:t>
      </w:r>
      <w:r>
        <w:rPr>
          <w:u w:val="single"/>
        </w:rPr>
        <w:t>na</w:t>
      </w:r>
      <w:r>
        <w:rPr>
          <w:spacing w:val="-2"/>
          <w:u w:val="single"/>
        </w:rPr>
        <w:t xml:space="preserve"> sinakalcet</w:t>
      </w:r>
    </w:p>
    <w:p w14:paraId="5747F92B" w14:textId="77777777" w:rsidR="00712CF5" w:rsidRDefault="00712CF5">
      <w:pPr>
        <w:pStyle w:val="BodyText"/>
        <w:spacing w:before="2"/>
        <w:ind w:left="0"/>
      </w:pPr>
    </w:p>
    <w:p w14:paraId="5747F92C" w14:textId="17B75AD0" w:rsidR="00712CF5" w:rsidRDefault="00787E6B">
      <w:pPr>
        <w:pStyle w:val="BodyText"/>
        <w:spacing w:before="1"/>
        <w:ind w:right="139"/>
        <w:jc w:val="both"/>
      </w:pPr>
      <w:r>
        <w:t>Sinakalcet se delimično metaboliše pomoću enzima CYP3A4. Istovremena primena 200 mg ketokonazola dva puta dnevno, snažnog inhibitora CYP3A4, dovodi do otprilike dvostrukog povećanj</w:t>
      </w:r>
      <w:r w:rsidR="00B92774">
        <w:t>a</w:t>
      </w:r>
      <w:r>
        <w:t xml:space="preserve"> vrednosti sinakalceta. Prilagođavanje doze leka Cineset može biti potrebno kod pacijenata lečenih sinakalcetom kod kojih se započinje ili prekida terapija snažnim inhibitorom (npr. ketokonazol, itrakonazol, telitromicin, vorikonazol, ritonavir) ili induktorom (npr. rifampicin) navedenog enzima.</w:t>
      </w:r>
    </w:p>
    <w:p w14:paraId="5747F92D" w14:textId="77777777" w:rsidR="00712CF5" w:rsidRDefault="00787E6B">
      <w:pPr>
        <w:pStyle w:val="BodyText"/>
        <w:spacing w:before="252"/>
        <w:ind w:right="139"/>
        <w:jc w:val="both"/>
      </w:pPr>
      <w:r>
        <w:t xml:space="preserve">U </w:t>
      </w:r>
      <w:r>
        <w:rPr>
          <w:i/>
        </w:rPr>
        <w:t xml:space="preserve">in vitro </w:t>
      </w:r>
      <w:r>
        <w:t>studijama rezultati pokazuju da se sinakalcet delimično metaboliše pomoću CYP1A2. Pušenje indukuje CYP1A2; uočen je 36 do 38 % veći klirens sinakalceta kod pušača u odnosu na nepušače. Dejstvo inhibitora CYP1A2 (npr. fluvoksamin, ciprofloksacin) na vrednosti sinakalceta u plazmi nije ispitan. Možda će biti potrebno prilagođavanje doze leka ako pacijent počne ili prestane pušiti, ili ako počne ili prekine istovremeno lečenje snažnim inhibitorima CYP1A2.</w:t>
      </w:r>
    </w:p>
    <w:p w14:paraId="5747F92E" w14:textId="7023A019" w:rsidR="00712CF5" w:rsidRDefault="00787E6B">
      <w:pPr>
        <w:pStyle w:val="BodyText"/>
        <w:spacing w:before="251"/>
        <w:ind w:right="151"/>
        <w:jc w:val="both"/>
      </w:pPr>
      <w:r>
        <w:rPr>
          <w:i/>
          <w:u w:val="single"/>
        </w:rPr>
        <w:t>Kalcijum karbonat:</w:t>
      </w:r>
      <w:r>
        <w:rPr>
          <w:i/>
        </w:rPr>
        <w:t xml:space="preserve"> </w:t>
      </w:r>
      <w:r>
        <w:t>Istovremena primena kalcijum-karbonata</w:t>
      </w:r>
      <w:r>
        <w:rPr>
          <w:spacing w:val="-2"/>
        </w:rPr>
        <w:t xml:space="preserve"> </w:t>
      </w:r>
      <w:r>
        <w:t>(jednokratna</w:t>
      </w:r>
      <w:r>
        <w:rPr>
          <w:spacing w:val="-2"/>
        </w:rPr>
        <w:t xml:space="preserve"> </w:t>
      </w:r>
      <w:r>
        <w:t>doza</w:t>
      </w:r>
      <w:r>
        <w:rPr>
          <w:spacing w:val="-2"/>
        </w:rPr>
        <w:t xml:space="preserve"> </w:t>
      </w:r>
      <w:r>
        <w:t>od</w:t>
      </w:r>
      <w:r>
        <w:rPr>
          <w:spacing w:val="-2"/>
        </w:rPr>
        <w:t xml:space="preserve"> </w:t>
      </w:r>
      <w:r>
        <w:t>1500 mg) nije</w:t>
      </w:r>
      <w:r>
        <w:rPr>
          <w:spacing w:val="-2"/>
        </w:rPr>
        <w:t xml:space="preserve"> </w:t>
      </w:r>
      <w:r>
        <w:t xml:space="preserve">promenila farmakokinetiku </w:t>
      </w:r>
      <w:r w:rsidR="00635D6A">
        <w:t>s</w:t>
      </w:r>
      <w:r>
        <w:t>inakalceta.</w:t>
      </w:r>
    </w:p>
    <w:p w14:paraId="5747F92F" w14:textId="77777777" w:rsidR="00712CF5" w:rsidRDefault="00712CF5">
      <w:pPr>
        <w:pStyle w:val="BodyText"/>
        <w:ind w:left="0"/>
      </w:pPr>
    </w:p>
    <w:p w14:paraId="5747F930" w14:textId="77777777" w:rsidR="00712CF5" w:rsidRDefault="00787E6B">
      <w:pPr>
        <w:pStyle w:val="BodyText"/>
        <w:ind w:right="140"/>
        <w:jc w:val="both"/>
      </w:pPr>
      <w:r>
        <w:rPr>
          <w:i/>
          <w:u w:val="single"/>
        </w:rPr>
        <w:t>Sevelamer:</w:t>
      </w:r>
      <w:r>
        <w:rPr>
          <w:i/>
        </w:rPr>
        <w:t xml:space="preserve"> </w:t>
      </w:r>
      <w:r>
        <w:t xml:space="preserve">Istovremena primena sevelamera (2400 mg tri puta dnevno) nije uticala na farmakokinetiku </w:t>
      </w:r>
      <w:r>
        <w:rPr>
          <w:spacing w:val="-2"/>
        </w:rPr>
        <w:t>sinakalceta.</w:t>
      </w:r>
    </w:p>
    <w:p w14:paraId="5747F931" w14:textId="77777777" w:rsidR="00712CF5" w:rsidRDefault="00787E6B">
      <w:pPr>
        <w:pStyle w:val="BodyText"/>
        <w:spacing w:before="252"/>
        <w:ind w:right="140"/>
        <w:jc w:val="both"/>
      </w:pPr>
      <w:r>
        <w:rPr>
          <w:i/>
          <w:u w:val="single"/>
        </w:rPr>
        <w:t>Pantoprazol:</w:t>
      </w:r>
      <w:r>
        <w:rPr>
          <w:i/>
        </w:rPr>
        <w:t xml:space="preserve"> </w:t>
      </w:r>
      <w:r>
        <w:t xml:space="preserve">Istovremena primena pantoprazola (80 mg jednom dnevno) nije promenila farmakokinetiku </w:t>
      </w:r>
      <w:r>
        <w:rPr>
          <w:spacing w:val="-2"/>
        </w:rPr>
        <w:t>sinakalceta.</w:t>
      </w:r>
    </w:p>
    <w:p w14:paraId="5747F932" w14:textId="77777777" w:rsidR="00712CF5" w:rsidRDefault="00712CF5">
      <w:pPr>
        <w:pStyle w:val="BodyText"/>
        <w:spacing w:before="9"/>
        <w:ind w:left="0"/>
      </w:pPr>
    </w:p>
    <w:p w14:paraId="5747F933" w14:textId="77777777" w:rsidR="00712CF5" w:rsidRDefault="00787E6B">
      <w:pPr>
        <w:pStyle w:val="Heading2"/>
        <w:ind w:left="140"/>
        <w:jc w:val="both"/>
      </w:pPr>
      <w:r>
        <w:t>Dejstvo</w:t>
      </w:r>
      <w:r>
        <w:rPr>
          <w:spacing w:val="-4"/>
        </w:rPr>
        <w:t xml:space="preserve"> </w:t>
      </w:r>
      <w:r>
        <w:t>sinakalceta</w:t>
      </w:r>
      <w:r>
        <w:rPr>
          <w:spacing w:val="-6"/>
        </w:rPr>
        <w:t xml:space="preserve"> </w:t>
      </w:r>
      <w:r>
        <w:t>na</w:t>
      </w:r>
      <w:r>
        <w:rPr>
          <w:spacing w:val="-6"/>
        </w:rPr>
        <w:t xml:space="preserve"> </w:t>
      </w:r>
      <w:r>
        <w:t>druge</w:t>
      </w:r>
      <w:r>
        <w:rPr>
          <w:spacing w:val="-5"/>
        </w:rPr>
        <w:t xml:space="preserve"> </w:t>
      </w:r>
      <w:r>
        <w:rPr>
          <w:spacing w:val="-2"/>
        </w:rPr>
        <w:t>lekove</w:t>
      </w:r>
    </w:p>
    <w:p w14:paraId="5747F934" w14:textId="77777777" w:rsidR="00712CF5" w:rsidRDefault="00787E6B">
      <w:pPr>
        <w:pStyle w:val="BodyText"/>
        <w:spacing w:before="247"/>
        <w:ind w:right="140"/>
        <w:jc w:val="both"/>
      </w:pPr>
      <w:r>
        <w:t>Lekovi koje metaboliše enzim</w:t>
      </w:r>
      <w:r>
        <w:rPr>
          <w:spacing w:val="-1"/>
        </w:rPr>
        <w:t xml:space="preserve"> </w:t>
      </w:r>
      <w:r>
        <w:t>P450</w:t>
      </w:r>
      <w:r>
        <w:rPr>
          <w:spacing w:val="-1"/>
        </w:rPr>
        <w:t xml:space="preserve"> </w:t>
      </w:r>
      <w:r>
        <w:t>2D6</w:t>
      </w:r>
      <w:r>
        <w:rPr>
          <w:spacing w:val="-1"/>
        </w:rPr>
        <w:t xml:space="preserve"> </w:t>
      </w:r>
      <w:r>
        <w:t>(CYP2D6): sinakalcet je snažan inhibitor</w:t>
      </w:r>
      <w:r>
        <w:rPr>
          <w:spacing w:val="-1"/>
        </w:rPr>
        <w:t xml:space="preserve"> </w:t>
      </w:r>
      <w:r>
        <w:t>enzima</w:t>
      </w:r>
      <w:r>
        <w:rPr>
          <w:spacing w:val="-1"/>
        </w:rPr>
        <w:t xml:space="preserve"> </w:t>
      </w:r>
      <w:r>
        <w:t>CYP2D6. Možda će biti neophodno prilagođavanje doze istovremeno primenjenih lekova kada se lek Cineset primenjuje sa lekovima koji se pretežno metabolišu tim enzimom, individualno se titriraju i imaju uski terapijski raspon (npr. flekainid, propafenon, metoprolol, desipramin, nortriptilin, klomipramin).</w:t>
      </w:r>
    </w:p>
    <w:p w14:paraId="5747F935" w14:textId="21C1C450" w:rsidR="00712CF5" w:rsidRDefault="00787E6B">
      <w:pPr>
        <w:pStyle w:val="BodyText"/>
        <w:spacing w:before="250"/>
        <w:ind w:right="140"/>
        <w:jc w:val="both"/>
      </w:pPr>
      <w:r>
        <w:rPr>
          <w:i/>
          <w:u w:val="single"/>
        </w:rPr>
        <w:t>Dezipramin:</w:t>
      </w:r>
      <w:r>
        <w:rPr>
          <w:i/>
        </w:rPr>
        <w:t xml:space="preserve"> </w:t>
      </w:r>
      <w:r>
        <w:t>istovremena primena 90 mg sinakalceta jednom dnevno sa 50 mg dezipramina, tricikličkog antidepresiva</w:t>
      </w:r>
      <w:r>
        <w:rPr>
          <w:spacing w:val="-1"/>
        </w:rPr>
        <w:t xml:space="preserve"> </w:t>
      </w:r>
      <w:r>
        <w:t>koji</w:t>
      </w:r>
      <w:r>
        <w:rPr>
          <w:spacing w:val="-1"/>
        </w:rPr>
        <w:t xml:space="preserve"> </w:t>
      </w:r>
      <w:r>
        <w:t>se</w:t>
      </w:r>
      <w:r>
        <w:rPr>
          <w:spacing w:val="-1"/>
        </w:rPr>
        <w:t xml:space="preserve"> </w:t>
      </w:r>
      <w:r>
        <w:t>metaboliše</w:t>
      </w:r>
      <w:r>
        <w:rPr>
          <w:spacing w:val="-6"/>
        </w:rPr>
        <w:t xml:space="preserve"> </w:t>
      </w:r>
      <w:r>
        <w:t>pre</w:t>
      </w:r>
      <w:r>
        <w:rPr>
          <w:spacing w:val="-1"/>
        </w:rPr>
        <w:t xml:space="preserve"> </w:t>
      </w:r>
      <w:r>
        <w:t>svega</w:t>
      </w:r>
      <w:r>
        <w:rPr>
          <w:spacing w:val="-1"/>
        </w:rPr>
        <w:t xml:space="preserve"> </w:t>
      </w:r>
      <w:r>
        <w:t>putem</w:t>
      </w:r>
      <w:r>
        <w:rPr>
          <w:spacing w:val="-1"/>
        </w:rPr>
        <w:t xml:space="preserve"> </w:t>
      </w:r>
      <w:r>
        <w:t>CYP2D6,</w:t>
      </w:r>
      <w:r>
        <w:rPr>
          <w:spacing w:val="-2"/>
        </w:rPr>
        <w:t xml:space="preserve"> </w:t>
      </w:r>
      <w:r>
        <w:t>povećava</w:t>
      </w:r>
      <w:r>
        <w:rPr>
          <w:spacing w:val="-1"/>
        </w:rPr>
        <w:t xml:space="preserve"> </w:t>
      </w:r>
      <w:r>
        <w:t>3,6</w:t>
      </w:r>
      <w:r>
        <w:rPr>
          <w:spacing w:val="-2"/>
        </w:rPr>
        <w:t xml:space="preserve"> </w:t>
      </w:r>
      <w:r>
        <w:t>puta</w:t>
      </w:r>
      <w:r>
        <w:rPr>
          <w:spacing w:val="-1"/>
        </w:rPr>
        <w:t xml:space="preserve"> </w:t>
      </w:r>
      <w:r>
        <w:t>izloženost</w:t>
      </w:r>
      <w:r>
        <w:rPr>
          <w:spacing w:val="-1"/>
        </w:rPr>
        <w:t xml:space="preserve"> </w:t>
      </w:r>
      <w:r>
        <w:t>dezipramina</w:t>
      </w:r>
      <w:r>
        <w:rPr>
          <w:spacing w:val="-1"/>
        </w:rPr>
        <w:t xml:space="preserve"> </w:t>
      </w:r>
      <w:r>
        <w:t>(90</w:t>
      </w:r>
      <w:r>
        <w:rPr>
          <w:spacing w:val="-1"/>
        </w:rPr>
        <w:t xml:space="preserve"> </w:t>
      </w:r>
      <w:r>
        <w:t>% CI 3,0; 4,4) kod pacijenata sa velikom aktivnošću CYP2D6.</w:t>
      </w:r>
    </w:p>
    <w:p w14:paraId="5747F936" w14:textId="77777777" w:rsidR="00712CF5" w:rsidRDefault="00712CF5">
      <w:pPr>
        <w:pStyle w:val="BodyText"/>
        <w:spacing w:before="1"/>
        <w:ind w:left="0"/>
      </w:pPr>
    </w:p>
    <w:p w14:paraId="5747F937" w14:textId="2194F3D3" w:rsidR="00712CF5" w:rsidRDefault="00787E6B">
      <w:pPr>
        <w:pStyle w:val="BodyText"/>
      </w:pPr>
      <w:r>
        <w:rPr>
          <w:i/>
          <w:u w:val="single"/>
        </w:rPr>
        <w:t>Dekstrometorfan:</w:t>
      </w:r>
      <w:r>
        <w:rPr>
          <w:i/>
          <w:spacing w:val="-2"/>
        </w:rPr>
        <w:t xml:space="preserve"> </w:t>
      </w:r>
      <w:r>
        <w:t>uzimanjem</w:t>
      </w:r>
      <w:r>
        <w:rPr>
          <w:spacing w:val="-5"/>
        </w:rPr>
        <w:t xml:space="preserve"> </w:t>
      </w:r>
      <w:r>
        <w:t>višestrukih doz</w:t>
      </w:r>
      <w:r w:rsidR="00344A18">
        <w:t>a</w:t>
      </w:r>
      <w:r>
        <w:rPr>
          <w:spacing w:val="-5"/>
        </w:rPr>
        <w:t xml:space="preserve"> </w:t>
      </w:r>
      <w:r>
        <w:t>od</w:t>
      </w:r>
      <w:r>
        <w:rPr>
          <w:spacing w:val="-5"/>
        </w:rPr>
        <w:t xml:space="preserve"> </w:t>
      </w:r>
      <w:r>
        <w:t>50</w:t>
      </w:r>
      <w:r>
        <w:rPr>
          <w:spacing w:val="-5"/>
        </w:rPr>
        <w:t xml:space="preserve"> </w:t>
      </w:r>
      <w:r>
        <w:t>mg</w:t>
      </w:r>
      <w:r>
        <w:rPr>
          <w:spacing w:val="-2"/>
        </w:rPr>
        <w:t xml:space="preserve"> </w:t>
      </w:r>
      <w:r>
        <w:t>sinakalceta</w:t>
      </w:r>
      <w:r>
        <w:rPr>
          <w:spacing w:val="-4"/>
        </w:rPr>
        <w:t xml:space="preserve"> </w:t>
      </w:r>
      <w:r>
        <w:t>povećavale</w:t>
      </w:r>
      <w:r>
        <w:rPr>
          <w:spacing w:val="-4"/>
        </w:rPr>
        <w:t xml:space="preserve"> </w:t>
      </w:r>
      <w:r>
        <w:t>su</w:t>
      </w:r>
      <w:r w:rsidR="00A37C30">
        <w:t xml:space="preserve"> se</w:t>
      </w:r>
      <w:r>
        <w:rPr>
          <w:spacing w:val="-1"/>
        </w:rPr>
        <w:t xml:space="preserve"> </w:t>
      </w:r>
      <w:r>
        <w:t>vrednosti</w:t>
      </w:r>
      <w:r>
        <w:rPr>
          <w:spacing w:val="-2"/>
        </w:rPr>
        <w:t xml:space="preserve"> </w:t>
      </w:r>
      <w:r>
        <w:t>PIK</w:t>
      </w:r>
      <w:r>
        <w:rPr>
          <w:spacing w:val="-2"/>
        </w:rPr>
        <w:t xml:space="preserve"> </w:t>
      </w:r>
      <w:r>
        <w:t>30</w:t>
      </w:r>
      <w:r>
        <w:rPr>
          <w:spacing w:val="-8"/>
        </w:rPr>
        <w:t xml:space="preserve"> </w:t>
      </w:r>
      <w:r>
        <w:t>mg dekstrometorfana (pretežno se metaboliše enzimom CYP2D6)</w:t>
      </w:r>
      <w:r>
        <w:rPr>
          <w:spacing w:val="40"/>
        </w:rPr>
        <w:t xml:space="preserve"> </w:t>
      </w:r>
      <w:r>
        <w:t>za</w:t>
      </w:r>
      <w:r>
        <w:rPr>
          <w:spacing w:val="40"/>
        </w:rPr>
        <w:t xml:space="preserve"> </w:t>
      </w:r>
      <w:r>
        <w:t>11 puta</w:t>
      </w:r>
      <w:r>
        <w:rPr>
          <w:spacing w:val="40"/>
        </w:rPr>
        <w:t xml:space="preserve"> </w:t>
      </w:r>
      <w:r>
        <w:t>kod</w:t>
      </w:r>
      <w:r>
        <w:rPr>
          <w:spacing w:val="40"/>
        </w:rPr>
        <w:t xml:space="preserve"> </w:t>
      </w:r>
      <w:r>
        <w:t xml:space="preserve">snažnih CYP2D6 </w:t>
      </w:r>
      <w:r>
        <w:rPr>
          <w:spacing w:val="-2"/>
        </w:rPr>
        <w:t>metabolizatora.</w:t>
      </w:r>
    </w:p>
    <w:p w14:paraId="5747F938" w14:textId="77777777" w:rsidR="00712CF5" w:rsidRDefault="00712CF5">
      <w:pPr>
        <w:pStyle w:val="BodyText"/>
        <w:spacing w:before="1"/>
        <w:ind w:left="0"/>
      </w:pPr>
    </w:p>
    <w:p w14:paraId="5747F939" w14:textId="77777777" w:rsidR="00712CF5" w:rsidRDefault="00787E6B">
      <w:pPr>
        <w:pStyle w:val="BodyText"/>
        <w:ind w:right="139"/>
        <w:jc w:val="both"/>
      </w:pPr>
      <w:r>
        <w:rPr>
          <w:i/>
          <w:u w:val="single"/>
        </w:rPr>
        <w:t>Varfarin:</w:t>
      </w:r>
      <w:r>
        <w:rPr>
          <w:i/>
        </w:rPr>
        <w:t xml:space="preserve"> </w:t>
      </w:r>
      <w:r>
        <w:t>višestruke doze sinakalceta uzete oralno ne utiču na farmakokinetiku ili farmakodinamiku</w:t>
      </w:r>
      <w:r>
        <w:rPr>
          <w:spacing w:val="40"/>
        </w:rPr>
        <w:t xml:space="preserve"> </w:t>
      </w:r>
      <w:r>
        <w:t>varfarina (merenu protrombinskim vremenom i faktorom koagulacije VII). Izostanak delovanja sinakalceta na farmakokinetiku R- i S-varfarina i izostanak autoindukcije nakon višestruko uzetih doza, pokazuje da sinakalcet nije induktor CYP3A4, CYP1A2 ili CYP2C9 kod ljudi.</w:t>
      </w:r>
    </w:p>
    <w:p w14:paraId="5747F93A" w14:textId="77777777" w:rsidR="00712CF5" w:rsidRDefault="00712CF5">
      <w:pPr>
        <w:pStyle w:val="BodyText"/>
        <w:spacing w:before="2"/>
        <w:ind w:left="0"/>
      </w:pPr>
    </w:p>
    <w:p w14:paraId="5747F93B" w14:textId="77777777" w:rsidR="00712CF5" w:rsidRDefault="00787E6B">
      <w:pPr>
        <w:pStyle w:val="BodyText"/>
        <w:ind w:right="139"/>
        <w:jc w:val="both"/>
      </w:pPr>
      <w:r>
        <w:rPr>
          <w:i/>
          <w:u w:val="single"/>
        </w:rPr>
        <w:t>Midazolam:</w:t>
      </w:r>
      <w:r>
        <w:rPr>
          <w:i/>
        </w:rPr>
        <w:t xml:space="preserve"> </w:t>
      </w:r>
      <w:r>
        <w:t>istovremena primena sinakalceta</w:t>
      </w:r>
      <w:r>
        <w:rPr>
          <w:spacing w:val="-2"/>
        </w:rPr>
        <w:t xml:space="preserve"> </w:t>
      </w:r>
      <w:r>
        <w:t>(90 mg) sa oralno</w:t>
      </w:r>
      <w:r>
        <w:rPr>
          <w:spacing w:val="-3"/>
        </w:rPr>
        <w:t xml:space="preserve"> </w:t>
      </w:r>
      <w:r>
        <w:t>primenjenim midazolamom</w:t>
      </w:r>
      <w:r>
        <w:rPr>
          <w:spacing w:val="-2"/>
        </w:rPr>
        <w:t xml:space="preserve"> </w:t>
      </w:r>
      <w:r>
        <w:t>(2 mg),</w:t>
      </w:r>
      <w:r>
        <w:rPr>
          <w:spacing w:val="-2"/>
        </w:rPr>
        <w:t xml:space="preserve"> </w:t>
      </w:r>
      <w:r>
        <w:t>substrat CYP3A4 i CYP3A5, ne menja farmakokinetiku midazolama. Ti rezultati pokazuju da sinakalcet ne deluje na farmakokinetiku one klase lekova koje metabolišu CYP3A4 i CYP3A5, kao što su imunosupresivi, uključujući ciklosporin i takrolimus.</w:t>
      </w:r>
    </w:p>
    <w:p w14:paraId="5747F93C" w14:textId="77777777" w:rsidR="00712CF5" w:rsidRDefault="00712CF5">
      <w:pPr>
        <w:pStyle w:val="BodyText"/>
        <w:spacing w:before="2"/>
        <w:ind w:left="0"/>
      </w:pPr>
    </w:p>
    <w:p w14:paraId="5747F93D" w14:textId="77777777" w:rsidR="00712CF5" w:rsidRDefault="00787E6B">
      <w:pPr>
        <w:pStyle w:val="Heading2"/>
        <w:numPr>
          <w:ilvl w:val="1"/>
          <w:numId w:val="3"/>
        </w:numPr>
        <w:tabs>
          <w:tab w:val="left" w:pos="528"/>
        </w:tabs>
        <w:spacing w:line="482" w:lineRule="auto"/>
        <w:ind w:left="140" w:right="6742" w:firstLine="0"/>
      </w:pPr>
      <w:r>
        <w:t>Plodnost,</w:t>
      </w:r>
      <w:r>
        <w:rPr>
          <w:spacing w:val="-11"/>
        </w:rPr>
        <w:t xml:space="preserve"> </w:t>
      </w:r>
      <w:r>
        <w:t>trudnoća</w:t>
      </w:r>
      <w:r>
        <w:rPr>
          <w:spacing w:val="-14"/>
        </w:rPr>
        <w:t xml:space="preserve"> </w:t>
      </w:r>
      <w:r>
        <w:t>i</w:t>
      </w:r>
      <w:r>
        <w:rPr>
          <w:spacing w:val="-13"/>
        </w:rPr>
        <w:t xml:space="preserve"> </w:t>
      </w:r>
      <w:r>
        <w:t xml:space="preserve">dojenje </w:t>
      </w:r>
      <w:r>
        <w:rPr>
          <w:spacing w:val="-2"/>
        </w:rPr>
        <w:t>Trudnoća</w:t>
      </w:r>
    </w:p>
    <w:p w14:paraId="5747F93E" w14:textId="77777777" w:rsidR="00712CF5" w:rsidRDefault="00712CF5">
      <w:pPr>
        <w:pStyle w:val="Heading2"/>
        <w:spacing w:line="482" w:lineRule="auto"/>
        <w:sectPr w:rsidR="00712CF5">
          <w:pgSz w:w="11910" w:h="16840"/>
          <w:pgMar w:top="820" w:right="992" w:bottom="1500" w:left="992" w:header="0" w:footer="1311" w:gutter="0"/>
          <w:cols w:space="720"/>
        </w:sectPr>
      </w:pPr>
    </w:p>
    <w:p w14:paraId="5747F93F" w14:textId="77777777" w:rsidR="00712CF5" w:rsidRDefault="00787E6B">
      <w:pPr>
        <w:pStyle w:val="BodyText"/>
        <w:spacing w:before="65"/>
        <w:ind w:right="140"/>
        <w:jc w:val="both"/>
      </w:pPr>
      <w:r>
        <w:lastRenderedPageBreak/>
        <w:t>Nema kliničkih podataka o primeni sinakalceta u trudnoći. Ispitivanja na životinjama nisu pokazala direktna štetna dejstva na trudnoću, porođaj ili postnatalni razvoj. Nije dokazana embrionalna/fetalna toksičnost u ispitivanjima na oplođenim pacovima i zečevima, osim smanjenja težine fetusa kod pacova u dozama toksičnim za oplođenu ženku (videti odeljak 5.3). Lek Cineset se može uzimati tokom trudnoće samo ako moguća korist opravdava potencijalni rizik za fetus.</w:t>
      </w:r>
    </w:p>
    <w:p w14:paraId="5747F940" w14:textId="77777777" w:rsidR="00712CF5" w:rsidRDefault="00712CF5">
      <w:pPr>
        <w:pStyle w:val="BodyText"/>
        <w:spacing w:before="3"/>
        <w:ind w:left="0"/>
      </w:pPr>
    </w:p>
    <w:p w14:paraId="5747F941" w14:textId="77777777" w:rsidR="00712CF5" w:rsidRDefault="00787E6B">
      <w:pPr>
        <w:pStyle w:val="Heading2"/>
        <w:spacing w:line="249" w:lineRule="exact"/>
        <w:ind w:left="140"/>
      </w:pPr>
      <w:r>
        <w:rPr>
          <w:spacing w:val="-2"/>
        </w:rPr>
        <w:t>Dojenje</w:t>
      </w:r>
    </w:p>
    <w:p w14:paraId="5747F942" w14:textId="77777777" w:rsidR="00712CF5" w:rsidRDefault="00787E6B">
      <w:pPr>
        <w:pStyle w:val="BodyText"/>
        <w:spacing w:line="242" w:lineRule="auto"/>
        <w:ind w:right="140"/>
        <w:jc w:val="both"/>
      </w:pPr>
      <w:r>
        <w:t>Nije poznato da li se sinakalcet izlučuje u majčino mleko. Sinakalcet se izlučuje u mleko ženki pacova uz visok odnos između mleka i plazme. Odluku o prekidu dojenja ili lečenja lekom Cineset treba doneti na osnovu pažljive procene koristi i rizika.</w:t>
      </w:r>
    </w:p>
    <w:p w14:paraId="5747F943" w14:textId="77777777" w:rsidR="00712CF5" w:rsidRDefault="00787E6B">
      <w:pPr>
        <w:pStyle w:val="Heading2"/>
        <w:spacing w:before="247" w:line="251" w:lineRule="exact"/>
        <w:ind w:left="140"/>
      </w:pPr>
      <w:r>
        <w:rPr>
          <w:spacing w:val="-2"/>
        </w:rPr>
        <w:t>Plodnost</w:t>
      </w:r>
    </w:p>
    <w:p w14:paraId="5747F944" w14:textId="77777777" w:rsidR="00712CF5" w:rsidRDefault="00787E6B">
      <w:pPr>
        <w:pStyle w:val="BodyText"/>
      </w:pPr>
      <w:r>
        <w:t>Nema</w:t>
      </w:r>
      <w:r>
        <w:rPr>
          <w:spacing w:val="27"/>
        </w:rPr>
        <w:t xml:space="preserve"> </w:t>
      </w:r>
      <w:r>
        <w:t>kliničkih</w:t>
      </w:r>
      <w:r>
        <w:rPr>
          <w:spacing w:val="23"/>
        </w:rPr>
        <w:t xml:space="preserve"> </w:t>
      </w:r>
      <w:r>
        <w:t>podataka</w:t>
      </w:r>
      <w:r>
        <w:rPr>
          <w:spacing w:val="25"/>
        </w:rPr>
        <w:t xml:space="preserve"> </w:t>
      </w:r>
      <w:r>
        <w:t>koji</w:t>
      </w:r>
      <w:r>
        <w:rPr>
          <w:spacing w:val="22"/>
        </w:rPr>
        <w:t xml:space="preserve"> </w:t>
      </w:r>
      <w:r>
        <w:t>se</w:t>
      </w:r>
      <w:r>
        <w:rPr>
          <w:spacing w:val="31"/>
        </w:rPr>
        <w:t xml:space="preserve"> </w:t>
      </w:r>
      <w:r>
        <w:t>odnose</w:t>
      </w:r>
      <w:r>
        <w:rPr>
          <w:spacing w:val="22"/>
        </w:rPr>
        <w:t xml:space="preserve"> </w:t>
      </w:r>
      <w:r>
        <w:t>na</w:t>
      </w:r>
      <w:r>
        <w:rPr>
          <w:spacing w:val="27"/>
        </w:rPr>
        <w:t xml:space="preserve"> </w:t>
      </w:r>
      <w:r>
        <w:t>uticaj</w:t>
      </w:r>
      <w:r>
        <w:rPr>
          <w:spacing w:val="24"/>
        </w:rPr>
        <w:t xml:space="preserve"> </w:t>
      </w:r>
      <w:r>
        <w:t>sinakalceta</w:t>
      </w:r>
      <w:r>
        <w:rPr>
          <w:spacing w:val="24"/>
        </w:rPr>
        <w:t xml:space="preserve"> </w:t>
      </w:r>
      <w:r>
        <w:t>na</w:t>
      </w:r>
      <w:r>
        <w:rPr>
          <w:spacing w:val="23"/>
        </w:rPr>
        <w:t xml:space="preserve"> </w:t>
      </w:r>
      <w:r>
        <w:t>plodnost.</w:t>
      </w:r>
      <w:r>
        <w:rPr>
          <w:spacing w:val="24"/>
        </w:rPr>
        <w:t xml:space="preserve"> </w:t>
      </w:r>
      <w:r>
        <w:t>Nije</w:t>
      </w:r>
      <w:r>
        <w:rPr>
          <w:spacing w:val="23"/>
        </w:rPr>
        <w:t xml:space="preserve"> </w:t>
      </w:r>
      <w:r>
        <w:t>bilo</w:t>
      </w:r>
      <w:r>
        <w:rPr>
          <w:spacing w:val="23"/>
        </w:rPr>
        <w:t xml:space="preserve"> </w:t>
      </w:r>
      <w:r>
        <w:t>uticaja</w:t>
      </w:r>
      <w:r>
        <w:rPr>
          <w:spacing w:val="24"/>
        </w:rPr>
        <w:t xml:space="preserve"> </w:t>
      </w:r>
      <w:r>
        <w:t>na</w:t>
      </w:r>
      <w:r>
        <w:rPr>
          <w:spacing w:val="23"/>
        </w:rPr>
        <w:t xml:space="preserve"> </w:t>
      </w:r>
      <w:r>
        <w:t>plodnost</w:t>
      </w:r>
      <w:r>
        <w:rPr>
          <w:spacing w:val="23"/>
        </w:rPr>
        <w:t xml:space="preserve"> </w:t>
      </w:r>
      <w:r>
        <w:t>u ispitivanjima sprovedenim na životinjama.</w:t>
      </w:r>
    </w:p>
    <w:p w14:paraId="5747F945" w14:textId="77777777" w:rsidR="00712CF5" w:rsidRDefault="00712CF5">
      <w:pPr>
        <w:pStyle w:val="BodyText"/>
        <w:spacing w:before="3"/>
        <w:ind w:left="0"/>
      </w:pPr>
    </w:p>
    <w:p w14:paraId="5747F946" w14:textId="77777777" w:rsidR="00712CF5" w:rsidRDefault="00787E6B">
      <w:pPr>
        <w:pStyle w:val="Heading2"/>
        <w:numPr>
          <w:ilvl w:val="1"/>
          <w:numId w:val="3"/>
        </w:numPr>
        <w:tabs>
          <w:tab w:val="left" w:pos="483"/>
        </w:tabs>
        <w:ind w:left="483" w:hanging="343"/>
      </w:pPr>
      <w:r>
        <w:rPr>
          <w:spacing w:val="-8"/>
        </w:rPr>
        <w:t>Uticaj</w:t>
      </w:r>
      <w:r>
        <w:rPr>
          <w:spacing w:val="-15"/>
        </w:rPr>
        <w:t xml:space="preserve"> </w:t>
      </w:r>
      <w:r>
        <w:rPr>
          <w:spacing w:val="-8"/>
        </w:rPr>
        <w:t>leka</w:t>
      </w:r>
      <w:r>
        <w:rPr>
          <w:spacing w:val="-14"/>
        </w:rPr>
        <w:t xml:space="preserve"> </w:t>
      </w:r>
      <w:r>
        <w:rPr>
          <w:spacing w:val="-8"/>
        </w:rPr>
        <w:t>na</w:t>
      </w:r>
      <w:r>
        <w:rPr>
          <w:spacing w:val="-15"/>
        </w:rPr>
        <w:t xml:space="preserve"> </w:t>
      </w:r>
      <w:r>
        <w:rPr>
          <w:spacing w:val="-8"/>
        </w:rPr>
        <w:t>sposobnost</w:t>
      </w:r>
      <w:r>
        <w:rPr>
          <w:spacing w:val="-14"/>
        </w:rPr>
        <w:t xml:space="preserve"> </w:t>
      </w:r>
      <w:r>
        <w:rPr>
          <w:spacing w:val="-8"/>
        </w:rPr>
        <w:t>upravljanja</w:t>
      </w:r>
      <w:r>
        <w:rPr>
          <w:spacing w:val="-15"/>
        </w:rPr>
        <w:t xml:space="preserve"> </w:t>
      </w:r>
      <w:r>
        <w:rPr>
          <w:spacing w:val="-8"/>
        </w:rPr>
        <w:t>vozilima</w:t>
      </w:r>
      <w:r>
        <w:rPr>
          <w:spacing w:val="-14"/>
        </w:rPr>
        <w:t xml:space="preserve"> </w:t>
      </w:r>
      <w:r>
        <w:rPr>
          <w:spacing w:val="-8"/>
        </w:rPr>
        <w:t>i</w:t>
      </w:r>
      <w:r>
        <w:rPr>
          <w:spacing w:val="-15"/>
        </w:rPr>
        <w:t xml:space="preserve"> </w:t>
      </w:r>
      <w:r>
        <w:rPr>
          <w:spacing w:val="-8"/>
        </w:rPr>
        <w:t>rukovanja</w:t>
      </w:r>
      <w:r>
        <w:rPr>
          <w:spacing w:val="-3"/>
        </w:rPr>
        <w:t xml:space="preserve"> </w:t>
      </w:r>
      <w:r>
        <w:rPr>
          <w:spacing w:val="-8"/>
        </w:rPr>
        <w:t>mašinama</w:t>
      </w:r>
    </w:p>
    <w:p w14:paraId="5747F947" w14:textId="77777777" w:rsidR="00712CF5" w:rsidRDefault="00712CF5">
      <w:pPr>
        <w:pStyle w:val="BodyText"/>
        <w:ind w:left="0"/>
        <w:rPr>
          <w:b/>
        </w:rPr>
      </w:pPr>
    </w:p>
    <w:p w14:paraId="5747F948" w14:textId="77777777" w:rsidR="00712CF5" w:rsidRDefault="00787E6B">
      <w:pPr>
        <w:pStyle w:val="BodyText"/>
        <w:spacing w:line="237" w:lineRule="auto"/>
        <w:ind w:right="140"/>
        <w:jc w:val="both"/>
      </w:pPr>
      <w:r>
        <w:t>Lek Cinaset može imati značajan uticaj na sposobnost upravljanja vozilima i rukovanja mašinama, jer su vrtoglavica i napadi zabeleženi</w:t>
      </w:r>
      <w:r>
        <w:rPr>
          <w:spacing w:val="40"/>
        </w:rPr>
        <w:t xml:space="preserve"> </w:t>
      </w:r>
      <w:r>
        <w:t>kod pacijenata koji su uzimali sinakalcet (videti odeljak 4.4).</w:t>
      </w:r>
    </w:p>
    <w:p w14:paraId="5747F949" w14:textId="77777777" w:rsidR="00712CF5" w:rsidRDefault="00712CF5">
      <w:pPr>
        <w:pStyle w:val="BodyText"/>
        <w:spacing w:before="7"/>
        <w:ind w:left="0"/>
      </w:pPr>
    </w:p>
    <w:p w14:paraId="5747F94A" w14:textId="77777777" w:rsidR="00712CF5" w:rsidRDefault="00787E6B">
      <w:pPr>
        <w:pStyle w:val="Heading2"/>
        <w:numPr>
          <w:ilvl w:val="1"/>
          <w:numId w:val="3"/>
        </w:numPr>
        <w:tabs>
          <w:tab w:val="left" w:pos="522"/>
        </w:tabs>
        <w:ind w:left="522" w:hanging="382"/>
      </w:pPr>
      <w:r>
        <w:t>Neželjena</w:t>
      </w:r>
      <w:r>
        <w:rPr>
          <w:spacing w:val="-9"/>
        </w:rPr>
        <w:t xml:space="preserve"> </w:t>
      </w:r>
      <w:r>
        <w:rPr>
          <w:spacing w:val="-2"/>
        </w:rPr>
        <w:t>dejstva</w:t>
      </w:r>
    </w:p>
    <w:p w14:paraId="5747F94B" w14:textId="77777777" w:rsidR="00712CF5" w:rsidRDefault="00787E6B">
      <w:pPr>
        <w:pStyle w:val="BodyText"/>
        <w:spacing w:before="247"/>
      </w:pPr>
      <w:r>
        <w:t>Sažetak</w:t>
      </w:r>
      <w:r>
        <w:rPr>
          <w:spacing w:val="-8"/>
        </w:rPr>
        <w:t xml:space="preserve"> </w:t>
      </w:r>
      <w:r>
        <w:t>bezbednosnog</w:t>
      </w:r>
      <w:r>
        <w:rPr>
          <w:spacing w:val="-11"/>
        </w:rPr>
        <w:t xml:space="preserve"> </w:t>
      </w:r>
      <w:r>
        <w:rPr>
          <w:spacing w:val="-2"/>
        </w:rPr>
        <w:t>profila</w:t>
      </w:r>
    </w:p>
    <w:p w14:paraId="5747F94C" w14:textId="77777777" w:rsidR="00712CF5" w:rsidRDefault="00787E6B">
      <w:pPr>
        <w:spacing w:before="251"/>
        <w:ind w:left="140"/>
        <w:rPr>
          <w:i/>
        </w:rPr>
      </w:pPr>
      <w:r>
        <w:rPr>
          <w:i/>
        </w:rPr>
        <w:t>Sekundarni</w:t>
      </w:r>
      <w:r>
        <w:rPr>
          <w:i/>
          <w:spacing w:val="-13"/>
        </w:rPr>
        <w:t xml:space="preserve"> </w:t>
      </w:r>
      <w:r>
        <w:rPr>
          <w:i/>
        </w:rPr>
        <w:t>hiperparatireoidizam,</w:t>
      </w:r>
      <w:r>
        <w:rPr>
          <w:i/>
          <w:spacing w:val="-10"/>
        </w:rPr>
        <w:t xml:space="preserve"> </w:t>
      </w:r>
      <w:r>
        <w:rPr>
          <w:i/>
        </w:rPr>
        <w:t>paratireoidni</w:t>
      </w:r>
      <w:r>
        <w:rPr>
          <w:i/>
          <w:spacing w:val="-10"/>
        </w:rPr>
        <w:t xml:space="preserve"> </w:t>
      </w:r>
      <w:r>
        <w:rPr>
          <w:i/>
        </w:rPr>
        <w:t>karcinom</w:t>
      </w:r>
      <w:r>
        <w:rPr>
          <w:i/>
          <w:spacing w:val="-10"/>
        </w:rPr>
        <w:t xml:space="preserve"> </w:t>
      </w:r>
      <w:r>
        <w:rPr>
          <w:i/>
        </w:rPr>
        <w:t>i</w:t>
      </w:r>
      <w:r>
        <w:rPr>
          <w:i/>
          <w:spacing w:val="-10"/>
        </w:rPr>
        <w:t xml:space="preserve"> </w:t>
      </w:r>
      <w:r>
        <w:rPr>
          <w:i/>
        </w:rPr>
        <w:t>primarni</w:t>
      </w:r>
      <w:r>
        <w:rPr>
          <w:i/>
          <w:spacing w:val="-10"/>
        </w:rPr>
        <w:t xml:space="preserve"> </w:t>
      </w:r>
      <w:r>
        <w:rPr>
          <w:i/>
          <w:spacing w:val="-2"/>
        </w:rPr>
        <w:t>hiperparatireoidizam</w:t>
      </w:r>
    </w:p>
    <w:p w14:paraId="5747F94D" w14:textId="77777777" w:rsidR="00712CF5" w:rsidRDefault="00712CF5">
      <w:pPr>
        <w:pStyle w:val="BodyText"/>
        <w:spacing w:before="2"/>
        <w:ind w:left="0"/>
        <w:rPr>
          <w:i/>
        </w:rPr>
      </w:pPr>
    </w:p>
    <w:p w14:paraId="5747F94E" w14:textId="77777777" w:rsidR="00712CF5" w:rsidRDefault="00787E6B">
      <w:pPr>
        <w:pStyle w:val="BodyText"/>
        <w:ind w:right="140"/>
        <w:jc w:val="both"/>
      </w:pPr>
      <w:r>
        <w:t>Na temelju dostupnih podataka od pacijenata koji su uzimali sinakalcet u placebom kontrolisanim ispitivanjima i ispitivanjima na jednoj grupi, najčešće zabeležena neželjena dejstva bili su mučnina i povraćanje. Mučnina i povraćanje bile su blage do umerene težine i prolaznog karaktera kod većine pacijenata. Prekid terapije zbog neželjenih dejstava uglavnom je bio zbog mučnine i povraćanja.</w:t>
      </w:r>
    </w:p>
    <w:p w14:paraId="5747F94F" w14:textId="77777777" w:rsidR="00712CF5" w:rsidRDefault="00787E6B">
      <w:pPr>
        <w:pStyle w:val="BodyText"/>
        <w:spacing w:before="251"/>
      </w:pPr>
      <w:r>
        <w:t>Tabelarni</w:t>
      </w:r>
      <w:r>
        <w:rPr>
          <w:spacing w:val="-10"/>
        </w:rPr>
        <w:t xml:space="preserve"> </w:t>
      </w:r>
      <w:r>
        <w:t>prikaz</w:t>
      </w:r>
      <w:r>
        <w:rPr>
          <w:spacing w:val="-7"/>
        </w:rPr>
        <w:t xml:space="preserve"> </w:t>
      </w:r>
      <w:r>
        <w:t>neželjenih</w:t>
      </w:r>
      <w:r>
        <w:rPr>
          <w:spacing w:val="-6"/>
        </w:rPr>
        <w:t xml:space="preserve"> </w:t>
      </w:r>
      <w:r>
        <w:rPr>
          <w:spacing w:val="-2"/>
        </w:rPr>
        <w:t>dejstava</w:t>
      </w:r>
    </w:p>
    <w:p w14:paraId="5747F950" w14:textId="77777777" w:rsidR="00712CF5" w:rsidRDefault="00712CF5">
      <w:pPr>
        <w:pStyle w:val="BodyText"/>
        <w:spacing w:before="3"/>
        <w:ind w:left="0"/>
      </w:pPr>
    </w:p>
    <w:p w14:paraId="5747F951" w14:textId="77777777" w:rsidR="00712CF5" w:rsidRDefault="00787E6B">
      <w:pPr>
        <w:pStyle w:val="BodyText"/>
        <w:ind w:right="139"/>
        <w:jc w:val="both"/>
      </w:pPr>
      <w:r>
        <w:t>Neželjena dejstva za koje se smatra da postoji barem mogućnost da se mogu pripisati lečenju sinakalcetom u placebom</w:t>
      </w:r>
      <w:r>
        <w:rPr>
          <w:spacing w:val="-1"/>
        </w:rPr>
        <w:t xml:space="preserve"> </w:t>
      </w:r>
      <w:r>
        <w:t>kontrolisanim ispitivanjima i ispitivanjima na jednoj grupi</w:t>
      </w:r>
      <w:r>
        <w:rPr>
          <w:spacing w:val="-2"/>
        </w:rPr>
        <w:t xml:space="preserve"> </w:t>
      </w:r>
      <w:r>
        <w:t>prema proceni uzročno-posledične veze na temelju procene najboljih dokaza navedene su u tekstu u nastavku a prema sledećoj konvenciji: veoma često (≥ 1/10); često (≥ 1/100 i &lt; 1/10); povremeno (≥ 1/1000 i &lt; 1/100); retko (≥ 1/10 000 i &lt; 1/1000); veoma retko (&lt; 1/10 000).</w:t>
      </w:r>
    </w:p>
    <w:p w14:paraId="5747F952" w14:textId="77777777" w:rsidR="00712CF5" w:rsidRDefault="00787E6B">
      <w:pPr>
        <w:pStyle w:val="BodyText"/>
        <w:spacing w:before="252"/>
      </w:pPr>
      <w:r>
        <w:t>Incidenca</w:t>
      </w:r>
      <w:r>
        <w:rPr>
          <w:spacing w:val="27"/>
        </w:rPr>
        <w:t xml:space="preserve"> </w:t>
      </w:r>
      <w:r>
        <w:t>neželjenih</w:t>
      </w:r>
      <w:r>
        <w:rPr>
          <w:spacing w:val="32"/>
        </w:rPr>
        <w:t xml:space="preserve"> </w:t>
      </w:r>
      <w:r>
        <w:t>dejstava</w:t>
      </w:r>
      <w:r>
        <w:rPr>
          <w:spacing w:val="30"/>
        </w:rPr>
        <w:t xml:space="preserve"> </w:t>
      </w:r>
      <w:r>
        <w:t>u</w:t>
      </w:r>
      <w:r>
        <w:rPr>
          <w:spacing w:val="28"/>
        </w:rPr>
        <w:t xml:space="preserve"> </w:t>
      </w:r>
      <w:r>
        <w:t>kontrolisanim</w:t>
      </w:r>
      <w:r>
        <w:rPr>
          <w:spacing w:val="33"/>
        </w:rPr>
        <w:t xml:space="preserve"> </w:t>
      </w:r>
      <w:r>
        <w:t>kliničkim</w:t>
      </w:r>
      <w:r>
        <w:rPr>
          <w:spacing w:val="27"/>
        </w:rPr>
        <w:t xml:space="preserve"> </w:t>
      </w:r>
      <w:r>
        <w:t>ispitivanjima</w:t>
      </w:r>
      <w:r>
        <w:rPr>
          <w:spacing w:val="32"/>
        </w:rPr>
        <w:t xml:space="preserve"> </w:t>
      </w:r>
      <w:r>
        <w:t>i</w:t>
      </w:r>
      <w:r>
        <w:rPr>
          <w:spacing w:val="29"/>
        </w:rPr>
        <w:t xml:space="preserve"> </w:t>
      </w:r>
      <w:r>
        <w:t>nakon</w:t>
      </w:r>
      <w:r>
        <w:rPr>
          <w:spacing w:val="27"/>
        </w:rPr>
        <w:t xml:space="preserve"> </w:t>
      </w:r>
      <w:r>
        <w:t>stavljanja</w:t>
      </w:r>
      <w:r>
        <w:rPr>
          <w:spacing w:val="32"/>
        </w:rPr>
        <w:t xml:space="preserve"> </w:t>
      </w:r>
      <w:r>
        <w:t>leka</w:t>
      </w:r>
      <w:r>
        <w:rPr>
          <w:spacing w:val="27"/>
        </w:rPr>
        <w:t xml:space="preserve"> </w:t>
      </w:r>
      <w:r>
        <w:t>u</w:t>
      </w:r>
      <w:r>
        <w:rPr>
          <w:spacing w:val="28"/>
        </w:rPr>
        <w:t xml:space="preserve"> </w:t>
      </w:r>
      <w:r>
        <w:t>promet</w:t>
      </w:r>
      <w:r>
        <w:rPr>
          <w:spacing w:val="28"/>
        </w:rPr>
        <w:t xml:space="preserve"> </w:t>
      </w:r>
      <w:r>
        <w:t xml:space="preserve">je </w:t>
      </w:r>
      <w:r>
        <w:rPr>
          <w:spacing w:val="-2"/>
        </w:rPr>
        <w:t>sledeća:</w:t>
      </w:r>
    </w:p>
    <w:p w14:paraId="5747F953" w14:textId="77777777" w:rsidR="00712CF5" w:rsidRDefault="00712CF5">
      <w:pPr>
        <w:pStyle w:val="BodyText"/>
        <w:spacing w:before="31"/>
        <w:ind w:left="0"/>
        <w:rPr>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3019"/>
        <w:gridCol w:w="3024"/>
      </w:tblGrid>
      <w:tr w:rsidR="00712CF5" w14:paraId="5747F958" w14:textId="77777777">
        <w:trPr>
          <w:trHeight w:val="508"/>
        </w:trPr>
        <w:tc>
          <w:tcPr>
            <w:tcW w:w="3024" w:type="dxa"/>
          </w:tcPr>
          <w:p w14:paraId="5747F954" w14:textId="77777777" w:rsidR="00712CF5" w:rsidRDefault="00787E6B">
            <w:pPr>
              <w:pStyle w:val="TableParagraph"/>
              <w:spacing w:line="249" w:lineRule="exact"/>
              <w:rPr>
                <w:b/>
              </w:rPr>
            </w:pPr>
            <w:r>
              <w:rPr>
                <w:b/>
              </w:rPr>
              <w:t>MedDRA</w:t>
            </w:r>
            <w:r>
              <w:rPr>
                <w:b/>
                <w:spacing w:val="-6"/>
              </w:rPr>
              <w:t xml:space="preserve"> </w:t>
            </w:r>
            <w:r>
              <w:rPr>
                <w:b/>
              </w:rPr>
              <w:t>klasifikacija</w:t>
            </w:r>
            <w:r>
              <w:rPr>
                <w:b/>
                <w:spacing w:val="-9"/>
              </w:rPr>
              <w:t xml:space="preserve"> </w:t>
            </w:r>
            <w:r>
              <w:rPr>
                <w:b/>
                <w:spacing w:val="-2"/>
              </w:rPr>
              <w:t>sistema</w:t>
            </w:r>
          </w:p>
          <w:p w14:paraId="5747F955" w14:textId="77777777" w:rsidR="00712CF5" w:rsidRDefault="00787E6B">
            <w:pPr>
              <w:pStyle w:val="TableParagraph"/>
              <w:spacing w:before="1" w:line="238" w:lineRule="exact"/>
              <w:rPr>
                <w:b/>
              </w:rPr>
            </w:pPr>
            <w:r>
              <w:rPr>
                <w:b/>
                <w:spacing w:val="-2"/>
              </w:rPr>
              <w:t>organa</w:t>
            </w:r>
          </w:p>
        </w:tc>
        <w:tc>
          <w:tcPr>
            <w:tcW w:w="3019" w:type="dxa"/>
          </w:tcPr>
          <w:p w14:paraId="5747F956" w14:textId="77777777" w:rsidR="00712CF5" w:rsidRDefault="00787E6B">
            <w:pPr>
              <w:pStyle w:val="TableParagraph"/>
              <w:spacing w:line="249" w:lineRule="exact"/>
              <w:rPr>
                <w:b/>
              </w:rPr>
            </w:pPr>
            <w:r>
              <w:rPr>
                <w:b/>
                <w:spacing w:val="-2"/>
              </w:rPr>
              <w:t>Učestalost</w:t>
            </w:r>
          </w:p>
        </w:tc>
        <w:tc>
          <w:tcPr>
            <w:tcW w:w="3024" w:type="dxa"/>
          </w:tcPr>
          <w:p w14:paraId="5747F957" w14:textId="77777777" w:rsidR="00712CF5" w:rsidRDefault="00787E6B">
            <w:pPr>
              <w:pStyle w:val="TableParagraph"/>
              <w:spacing w:line="249" w:lineRule="exact"/>
              <w:ind w:left="9"/>
              <w:rPr>
                <w:b/>
              </w:rPr>
            </w:pPr>
            <w:r>
              <w:rPr>
                <w:b/>
              </w:rPr>
              <w:t>Nželjena</w:t>
            </w:r>
            <w:r>
              <w:rPr>
                <w:b/>
                <w:spacing w:val="-9"/>
              </w:rPr>
              <w:t xml:space="preserve"> </w:t>
            </w:r>
            <w:r>
              <w:rPr>
                <w:b/>
                <w:spacing w:val="-2"/>
              </w:rPr>
              <w:t>dejstva</w:t>
            </w:r>
          </w:p>
        </w:tc>
      </w:tr>
      <w:tr w:rsidR="00712CF5" w14:paraId="5747F95D" w14:textId="77777777">
        <w:trPr>
          <w:trHeight w:val="503"/>
        </w:trPr>
        <w:tc>
          <w:tcPr>
            <w:tcW w:w="3024" w:type="dxa"/>
          </w:tcPr>
          <w:p w14:paraId="5747F959" w14:textId="77777777" w:rsidR="00712CF5" w:rsidRDefault="00787E6B">
            <w:pPr>
              <w:pStyle w:val="TableParagraph"/>
              <w:spacing w:line="242" w:lineRule="exact"/>
            </w:pPr>
            <w:r>
              <w:t>Poremećaji</w:t>
            </w:r>
            <w:r>
              <w:rPr>
                <w:spacing w:val="-10"/>
              </w:rPr>
              <w:t xml:space="preserve"> </w:t>
            </w:r>
            <w:r>
              <w:rPr>
                <w:spacing w:val="-2"/>
              </w:rPr>
              <w:t>imunskog</w:t>
            </w:r>
          </w:p>
          <w:p w14:paraId="5747F95A" w14:textId="77777777" w:rsidR="00712CF5" w:rsidRDefault="00787E6B">
            <w:pPr>
              <w:pStyle w:val="TableParagraph"/>
              <w:spacing w:line="241" w:lineRule="exact"/>
            </w:pPr>
            <w:r>
              <w:rPr>
                <w:spacing w:val="-2"/>
              </w:rPr>
              <w:t>sistema</w:t>
            </w:r>
          </w:p>
        </w:tc>
        <w:tc>
          <w:tcPr>
            <w:tcW w:w="3019" w:type="dxa"/>
          </w:tcPr>
          <w:p w14:paraId="5747F95B" w14:textId="77777777" w:rsidR="00712CF5" w:rsidRDefault="00787E6B">
            <w:pPr>
              <w:pStyle w:val="TableParagraph"/>
            </w:pPr>
            <w:r>
              <w:rPr>
                <w:spacing w:val="-2"/>
              </w:rPr>
              <w:t>često*</w:t>
            </w:r>
          </w:p>
        </w:tc>
        <w:tc>
          <w:tcPr>
            <w:tcW w:w="3024" w:type="dxa"/>
          </w:tcPr>
          <w:p w14:paraId="5747F95C" w14:textId="77777777" w:rsidR="00712CF5" w:rsidRDefault="00787E6B">
            <w:pPr>
              <w:pStyle w:val="TableParagraph"/>
              <w:ind w:left="9"/>
            </w:pPr>
            <w:r>
              <w:t>reakcije</w:t>
            </w:r>
            <w:r>
              <w:rPr>
                <w:spacing w:val="-10"/>
              </w:rPr>
              <w:t xml:space="preserve"> </w:t>
            </w:r>
            <w:r>
              <w:rPr>
                <w:spacing w:val="-2"/>
              </w:rPr>
              <w:t>preosetljivosti</w:t>
            </w:r>
          </w:p>
        </w:tc>
      </w:tr>
      <w:tr w:rsidR="00712CF5" w14:paraId="5747F962" w14:textId="77777777">
        <w:trPr>
          <w:trHeight w:val="508"/>
        </w:trPr>
        <w:tc>
          <w:tcPr>
            <w:tcW w:w="3024" w:type="dxa"/>
          </w:tcPr>
          <w:p w14:paraId="5747F95E" w14:textId="77777777" w:rsidR="00712CF5" w:rsidRDefault="00787E6B">
            <w:pPr>
              <w:pStyle w:val="TableParagraph"/>
            </w:pPr>
            <w:r>
              <w:t>Poremećaji</w:t>
            </w:r>
            <w:r>
              <w:rPr>
                <w:spacing w:val="-11"/>
              </w:rPr>
              <w:t xml:space="preserve"> </w:t>
            </w:r>
            <w:r>
              <w:t>metabolizma</w:t>
            </w:r>
            <w:r>
              <w:rPr>
                <w:spacing w:val="-10"/>
              </w:rPr>
              <w:t xml:space="preserve"> i</w:t>
            </w:r>
          </w:p>
          <w:p w14:paraId="5747F95F" w14:textId="77777777" w:rsidR="00712CF5" w:rsidRDefault="00787E6B">
            <w:pPr>
              <w:pStyle w:val="TableParagraph"/>
              <w:spacing w:before="1" w:line="243" w:lineRule="exact"/>
            </w:pPr>
            <w:r>
              <w:rPr>
                <w:spacing w:val="-2"/>
              </w:rPr>
              <w:t>ishrane</w:t>
            </w:r>
          </w:p>
        </w:tc>
        <w:tc>
          <w:tcPr>
            <w:tcW w:w="3019" w:type="dxa"/>
          </w:tcPr>
          <w:p w14:paraId="5747F960" w14:textId="77777777" w:rsidR="00712CF5" w:rsidRDefault="00787E6B">
            <w:pPr>
              <w:pStyle w:val="TableParagraph"/>
            </w:pPr>
            <w:r>
              <w:rPr>
                <w:spacing w:val="-2"/>
              </w:rPr>
              <w:t>često</w:t>
            </w:r>
          </w:p>
        </w:tc>
        <w:tc>
          <w:tcPr>
            <w:tcW w:w="3024" w:type="dxa"/>
          </w:tcPr>
          <w:p w14:paraId="5747F961" w14:textId="77777777" w:rsidR="00712CF5" w:rsidRDefault="00787E6B">
            <w:pPr>
              <w:pStyle w:val="TableParagraph"/>
              <w:ind w:left="9"/>
            </w:pPr>
            <w:r>
              <w:t>anoreksija,</w:t>
            </w:r>
            <w:r>
              <w:rPr>
                <w:spacing w:val="-9"/>
              </w:rPr>
              <w:t xml:space="preserve"> </w:t>
            </w:r>
            <w:r>
              <w:t>smanjeni</w:t>
            </w:r>
            <w:r>
              <w:rPr>
                <w:spacing w:val="-9"/>
              </w:rPr>
              <w:t xml:space="preserve"> </w:t>
            </w:r>
            <w:r>
              <w:rPr>
                <w:spacing w:val="-2"/>
              </w:rPr>
              <w:t>apetit</w:t>
            </w:r>
          </w:p>
        </w:tc>
      </w:tr>
      <w:tr w:rsidR="00712CF5" w14:paraId="5747F966" w14:textId="77777777">
        <w:trPr>
          <w:trHeight w:val="604"/>
        </w:trPr>
        <w:tc>
          <w:tcPr>
            <w:tcW w:w="3024" w:type="dxa"/>
          </w:tcPr>
          <w:p w14:paraId="5747F963" w14:textId="77777777" w:rsidR="00712CF5" w:rsidRDefault="00787E6B">
            <w:pPr>
              <w:pStyle w:val="TableParagraph"/>
            </w:pPr>
            <w:r>
              <w:t>Poremećaji</w:t>
            </w:r>
            <w:r>
              <w:rPr>
                <w:spacing w:val="-6"/>
              </w:rPr>
              <w:t xml:space="preserve"> </w:t>
            </w:r>
            <w:r>
              <w:t>nervnog</w:t>
            </w:r>
            <w:r>
              <w:rPr>
                <w:spacing w:val="-7"/>
              </w:rPr>
              <w:t xml:space="preserve"> </w:t>
            </w:r>
            <w:r>
              <w:rPr>
                <w:spacing w:val="-2"/>
              </w:rPr>
              <w:t>sistema</w:t>
            </w:r>
          </w:p>
        </w:tc>
        <w:tc>
          <w:tcPr>
            <w:tcW w:w="3019" w:type="dxa"/>
          </w:tcPr>
          <w:p w14:paraId="5747F964" w14:textId="77777777" w:rsidR="00712CF5" w:rsidRDefault="00787E6B">
            <w:pPr>
              <w:pStyle w:val="TableParagraph"/>
            </w:pPr>
            <w:r>
              <w:rPr>
                <w:spacing w:val="-2"/>
              </w:rPr>
              <w:t>često</w:t>
            </w:r>
          </w:p>
        </w:tc>
        <w:tc>
          <w:tcPr>
            <w:tcW w:w="3024" w:type="dxa"/>
          </w:tcPr>
          <w:p w14:paraId="5747F965" w14:textId="77777777" w:rsidR="00712CF5" w:rsidRDefault="00787E6B">
            <w:pPr>
              <w:pStyle w:val="TableParagraph"/>
              <w:spacing w:line="242" w:lineRule="auto"/>
              <w:ind w:left="9" w:right="-15"/>
            </w:pPr>
            <w:r>
              <w:t>napadi†,</w:t>
            </w:r>
            <w:r>
              <w:rPr>
                <w:spacing w:val="40"/>
              </w:rPr>
              <w:t xml:space="preserve"> </w:t>
            </w:r>
            <w:r>
              <w:t>vrtoglavica,</w:t>
            </w:r>
            <w:r>
              <w:rPr>
                <w:spacing w:val="38"/>
              </w:rPr>
              <w:t xml:space="preserve"> </w:t>
            </w:r>
            <w:r>
              <w:t xml:space="preserve">parestezija, </w:t>
            </w:r>
            <w:r>
              <w:rPr>
                <w:spacing w:val="-2"/>
              </w:rPr>
              <w:t>glavobolja</w:t>
            </w:r>
          </w:p>
        </w:tc>
      </w:tr>
      <w:tr w:rsidR="00712CF5" w14:paraId="5747F96B" w14:textId="77777777">
        <w:trPr>
          <w:trHeight w:val="1012"/>
        </w:trPr>
        <w:tc>
          <w:tcPr>
            <w:tcW w:w="3024" w:type="dxa"/>
          </w:tcPr>
          <w:p w14:paraId="5747F967" w14:textId="77777777" w:rsidR="00712CF5" w:rsidRDefault="00787E6B">
            <w:pPr>
              <w:pStyle w:val="TableParagraph"/>
            </w:pPr>
            <w:r>
              <w:rPr>
                <w:spacing w:val="-2"/>
              </w:rPr>
              <w:t>Kardiološki</w:t>
            </w:r>
            <w:r>
              <w:rPr>
                <w:spacing w:val="7"/>
              </w:rPr>
              <w:t xml:space="preserve"> </w:t>
            </w:r>
            <w:r>
              <w:rPr>
                <w:spacing w:val="-2"/>
              </w:rPr>
              <w:t>poremećaji</w:t>
            </w:r>
          </w:p>
        </w:tc>
        <w:tc>
          <w:tcPr>
            <w:tcW w:w="3019" w:type="dxa"/>
          </w:tcPr>
          <w:p w14:paraId="5747F968" w14:textId="77777777" w:rsidR="00712CF5" w:rsidRDefault="00787E6B">
            <w:pPr>
              <w:pStyle w:val="TableParagraph"/>
            </w:pPr>
            <w:r>
              <w:t>nepoznato</w:t>
            </w:r>
            <w:r>
              <w:rPr>
                <w:spacing w:val="-9"/>
              </w:rPr>
              <w:t xml:space="preserve"> </w:t>
            </w:r>
            <w:r>
              <w:rPr>
                <w:spacing w:val="-10"/>
              </w:rPr>
              <w:t>*</w:t>
            </w:r>
          </w:p>
        </w:tc>
        <w:tc>
          <w:tcPr>
            <w:tcW w:w="3024" w:type="dxa"/>
          </w:tcPr>
          <w:p w14:paraId="5747F969" w14:textId="77777777" w:rsidR="00712CF5" w:rsidRDefault="00787E6B">
            <w:pPr>
              <w:pStyle w:val="TableParagraph"/>
              <w:spacing w:line="242" w:lineRule="auto"/>
              <w:ind w:left="9" w:right="31"/>
            </w:pPr>
            <w:r>
              <w:t>pogoršanje srčane insuficijencije†, produženje QT intervala</w:t>
            </w:r>
            <w:r>
              <w:rPr>
                <w:spacing w:val="-13"/>
              </w:rPr>
              <w:t xml:space="preserve"> </w:t>
            </w:r>
            <w:r>
              <w:t>i</w:t>
            </w:r>
            <w:r>
              <w:rPr>
                <w:spacing w:val="-14"/>
              </w:rPr>
              <w:t xml:space="preserve"> </w:t>
            </w:r>
            <w:r>
              <w:t>ventrikularna</w:t>
            </w:r>
            <w:r>
              <w:rPr>
                <w:spacing w:val="-13"/>
              </w:rPr>
              <w:t xml:space="preserve"> </w:t>
            </w:r>
            <w:r>
              <w:t>aritmija</w:t>
            </w:r>
          </w:p>
          <w:p w14:paraId="5747F96A" w14:textId="77777777" w:rsidR="00712CF5" w:rsidRDefault="00787E6B">
            <w:pPr>
              <w:pStyle w:val="TableParagraph"/>
              <w:spacing w:line="235" w:lineRule="exact"/>
              <w:ind w:left="9"/>
            </w:pPr>
            <w:r>
              <w:t>uzrokovana</w:t>
            </w:r>
            <w:r>
              <w:rPr>
                <w:spacing w:val="-11"/>
              </w:rPr>
              <w:t xml:space="preserve"> </w:t>
            </w:r>
            <w:r>
              <w:rPr>
                <w:spacing w:val="-2"/>
              </w:rPr>
              <w:t>hipokalcemijom†</w:t>
            </w:r>
          </w:p>
        </w:tc>
      </w:tr>
    </w:tbl>
    <w:p w14:paraId="5747F96C" w14:textId="77777777" w:rsidR="00712CF5" w:rsidRDefault="00712CF5">
      <w:pPr>
        <w:pStyle w:val="TableParagraph"/>
        <w:spacing w:line="235" w:lineRule="exact"/>
        <w:sectPr w:rsidR="00712CF5">
          <w:pgSz w:w="11910" w:h="16840"/>
          <w:pgMar w:top="820" w:right="992" w:bottom="2004" w:left="992" w:header="0" w:footer="1311" w:gutter="0"/>
          <w:cols w:space="720"/>
        </w:sect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3019"/>
        <w:gridCol w:w="3024"/>
      </w:tblGrid>
      <w:tr w:rsidR="00712CF5" w14:paraId="5747F970" w14:textId="77777777">
        <w:trPr>
          <w:trHeight w:val="249"/>
        </w:trPr>
        <w:tc>
          <w:tcPr>
            <w:tcW w:w="3024" w:type="dxa"/>
          </w:tcPr>
          <w:p w14:paraId="5747F96D" w14:textId="77777777" w:rsidR="00712CF5" w:rsidRDefault="00787E6B">
            <w:pPr>
              <w:pStyle w:val="TableParagraph"/>
              <w:spacing w:line="229" w:lineRule="exact"/>
            </w:pPr>
            <w:r>
              <w:lastRenderedPageBreak/>
              <w:t>Vaskularni</w:t>
            </w:r>
            <w:r>
              <w:rPr>
                <w:spacing w:val="-11"/>
              </w:rPr>
              <w:t xml:space="preserve"> </w:t>
            </w:r>
            <w:r>
              <w:rPr>
                <w:spacing w:val="-2"/>
              </w:rPr>
              <w:t>poremećaji</w:t>
            </w:r>
          </w:p>
        </w:tc>
        <w:tc>
          <w:tcPr>
            <w:tcW w:w="3019" w:type="dxa"/>
          </w:tcPr>
          <w:p w14:paraId="5747F96E" w14:textId="77777777" w:rsidR="00712CF5" w:rsidRDefault="00787E6B">
            <w:pPr>
              <w:pStyle w:val="TableParagraph"/>
              <w:spacing w:line="229" w:lineRule="exact"/>
            </w:pPr>
            <w:r>
              <w:rPr>
                <w:spacing w:val="-2"/>
              </w:rPr>
              <w:t>često</w:t>
            </w:r>
          </w:p>
        </w:tc>
        <w:tc>
          <w:tcPr>
            <w:tcW w:w="3024" w:type="dxa"/>
          </w:tcPr>
          <w:p w14:paraId="5747F96F" w14:textId="77777777" w:rsidR="00712CF5" w:rsidRDefault="00787E6B">
            <w:pPr>
              <w:pStyle w:val="TableParagraph"/>
              <w:spacing w:line="229" w:lineRule="exact"/>
              <w:ind w:left="9"/>
            </w:pPr>
            <w:r>
              <w:rPr>
                <w:spacing w:val="-2"/>
              </w:rPr>
              <w:t>hipotenzija</w:t>
            </w:r>
          </w:p>
        </w:tc>
      </w:tr>
      <w:tr w:rsidR="00712CF5" w14:paraId="5747F974" w14:textId="77777777">
        <w:trPr>
          <w:trHeight w:val="772"/>
        </w:trPr>
        <w:tc>
          <w:tcPr>
            <w:tcW w:w="3024" w:type="dxa"/>
          </w:tcPr>
          <w:p w14:paraId="5747F971" w14:textId="77777777" w:rsidR="00712CF5" w:rsidRDefault="00787E6B">
            <w:pPr>
              <w:pStyle w:val="TableParagraph"/>
              <w:spacing w:line="242" w:lineRule="auto"/>
              <w:ind w:right="725"/>
            </w:pPr>
            <w:r>
              <w:t>Respiratorni, torakalni i medijastinalni</w:t>
            </w:r>
            <w:r>
              <w:rPr>
                <w:spacing w:val="-14"/>
              </w:rPr>
              <w:t xml:space="preserve"> </w:t>
            </w:r>
            <w:r>
              <w:t>poremećaji</w:t>
            </w:r>
          </w:p>
        </w:tc>
        <w:tc>
          <w:tcPr>
            <w:tcW w:w="3019" w:type="dxa"/>
          </w:tcPr>
          <w:p w14:paraId="5747F972" w14:textId="77777777" w:rsidR="00712CF5" w:rsidRDefault="00787E6B">
            <w:pPr>
              <w:pStyle w:val="TableParagraph"/>
            </w:pPr>
            <w:r>
              <w:rPr>
                <w:spacing w:val="-2"/>
              </w:rPr>
              <w:t>često</w:t>
            </w:r>
          </w:p>
        </w:tc>
        <w:tc>
          <w:tcPr>
            <w:tcW w:w="3024" w:type="dxa"/>
          </w:tcPr>
          <w:p w14:paraId="5747F973" w14:textId="77777777" w:rsidR="00712CF5" w:rsidRDefault="00787E6B">
            <w:pPr>
              <w:pStyle w:val="TableParagraph"/>
              <w:spacing w:line="242" w:lineRule="auto"/>
              <w:ind w:left="9" w:right="-15"/>
            </w:pPr>
            <w:r>
              <w:t>infekcija</w:t>
            </w:r>
            <w:r>
              <w:rPr>
                <w:spacing w:val="23"/>
              </w:rPr>
              <w:t xml:space="preserve"> </w:t>
            </w:r>
            <w:r>
              <w:t>gornjih</w:t>
            </w:r>
            <w:r>
              <w:rPr>
                <w:spacing w:val="27"/>
              </w:rPr>
              <w:t xml:space="preserve"> </w:t>
            </w:r>
            <w:r>
              <w:t>disajnih</w:t>
            </w:r>
            <w:r>
              <w:rPr>
                <w:spacing w:val="20"/>
              </w:rPr>
              <w:t xml:space="preserve"> </w:t>
            </w:r>
            <w:r>
              <w:t>puteva, dispneja, kašalj</w:t>
            </w:r>
          </w:p>
        </w:tc>
      </w:tr>
      <w:tr w:rsidR="00712CF5" w14:paraId="5747F978" w14:textId="77777777">
        <w:trPr>
          <w:trHeight w:val="249"/>
        </w:trPr>
        <w:tc>
          <w:tcPr>
            <w:tcW w:w="3024" w:type="dxa"/>
          </w:tcPr>
          <w:p w14:paraId="5747F975" w14:textId="77777777" w:rsidR="00712CF5" w:rsidRDefault="00787E6B">
            <w:pPr>
              <w:pStyle w:val="TableParagraph"/>
              <w:spacing w:line="229" w:lineRule="exact"/>
            </w:pPr>
            <w:r>
              <w:rPr>
                <w:spacing w:val="-2"/>
              </w:rPr>
              <w:t>Gastrointestinalni</w:t>
            </w:r>
            <w:r>
              <w:rPr>
                <w:spacing w:val="18"/>
              </w:rPr>
              <w:t xml:space="preserve"> </w:t>
            </w:r>
            <w:r>
              <w:rPr>
                <w:spacing w:val="-2"/>
              </w:rPr>
              <w:t>poremećaji</w:t>
            </w:r>
          </w:p>
        </w:tc>
        <w:tc>
          <w:tcPr>
            <w:tcW w:w="3019" w:type="dxa"/>
          </w:tcPr>
          <w:p w14:paraId="5747F976" w14:textId="77777777" w:rsidR="00712CF5" w:rsidRDefault="00787E6B">
            <w:pPr>
              <w:pStyle w:val="TableParagraph"/>
              <w:spacing w:line="229" w:lineRule="exact"/>
            </w:pPr>
            <w:r>
              <w:t>veoma</w:t>
            </w:r>
            <w:r>
              <w:rPr>
                <w:spacing w:val="-7"/>
              </w:rPr>
              <w:t xml:space="preserve"> </w:t>
            </w:r>
            <w:r>
              <w:rPr>
                <w:spacing w:val="-2"/>
              </w:rPr>
              <w:t>često</w:t>
            </w:r>
          </w:p>
        </w:tc>
        <w:tc>
          <w:tcPr>
            <w:tcW w:w="3024" w:type="dxa"/>
          </w:tcPr>
          <w:p w14:paraId="5747F977" w14:textId="77777777" w:rsidR="00712CF5" w:rsidRDefault="00787E6B">
            <w:pPr>
              <w:pStyle w:val="TableParagraph"/>
              <w:spacing w:line="229" w:lineRule="exact"/>
              <w:ind w:left="9"/>
            </w:pPr>
            <w:r>
              <w:t>mučnina,</w:t>
            </w:r>
            <w:r>
              <w:rPr>
                <w:spacing w:val="-8"/>
              </w:rPr>
              <w:t xml:space="preserve"> </w:t>
            </w:r>
            <w:r>
              <w:rPr>
                <w:spacing w:val="-2"/>
              </w:rPr>
              <w:t>povraćanje</w:t>
            </w:r>
          </w:p>
        </w:tc>
      </w:tr>
      <w:tr w:rsidR="00712CF5" w14:paraId="5747F97C" w14:textId="77777777">
        <w:trPr>
          <w:trHeight w:val="877"/>
        </w:trPr>
        <w:tc>
          <w:tcPr>
            <w:tcW w:w="3024" w:type="dxa"/>
          </w:tcPr>
          <w:p w14:paraId="5747F979" w14:textId="77777777" w:rsidR="00712CF5" w:rsidRDefault="00712CF5">
            <w:pPr>
              <w:pStyle w:val="TableParagraph"/>
              <w:spacing w:line="240" w:lineRule="auto"/>
              <w:ind w:left="0"/>
            </w:pPr>
          </w:p>
        </w:tc>
        <w:tc>
          <w:tcPr>
            <w:tcW w:w="3019" w:type="dxa"/>
          </w:tcPr>
          <w:p w14:paraId="5747F97A" w14:textId="77777777" w:rsidR="00712CF5" w:rsidRDefault="00787E6B">
            <w:pPr>
              <w:pStyle w:val="TableParagraph"/>
            </w:pPr>
            <w:r>
              <w:rPr>
                <w:spacing w:val="-2"/>
              </w:rPr>
              <w:t>često</w:t>
            </w:r>
          </w:p>
        </w:tc>
        <w:tc>
          <w:tcPr>
            <w:tcW w:w="3024" w:type="dxa"/>
          </w:tcPr>
          <w:p w14:paraId="5747F97B" w14:textId="77777777" w:rsidR="00712CF5" w:rsidRDefault="00787E6B">
            <w:pPr>
              <w:pStyle w:val="TableParagraph"/>
              <w:spacing w:line="242" w:lineRule="auto"/>
              <w:ind w:left="9"/>
            </w:pPr>
            <w:r>
              <w:t>dispepsija, dijareja, bol u abdomenu,</w:t>
            </w:r>
            <w:r>
              <w:rPr>
                <w:spacing w:val="-8"/>
              </w:rPr>
              <w:t xml:space="preserve"> </w:t>
            </w:r>
            <w:r>
              <w:t>bol</w:t>
            </w:r>
            <w:r>
              <w:rPr>
                <w:spacing w:val="-14"/>
              </w:rPr>
              <w:t xml:space="preserve"> </w:t>
            </w:r>
            <w:r>
              <w:t>u</w:t>
            </w:r>
            <w:r>
              <w:rPr>
                <w:spacing w:val="-11"/>
              </w:rPr>
              <w:t xml:space="preserve"> </w:t>
            </w:r>
            <w:r>
              <w:t>abdomenu</w:t>
            </w:r>
            <w:r>
              <w:rPr>
                <w:spacing w:val="-10"/>
              </w:rPr>
              <w:t xml:space="preserve"> </w:t>
            </w:r>
            <w:r>
              <w:t>– gornji deo, konstipacija</w:t>
            </w:r>
          </w:p>
        </w:tc>
      </w:tr>
      <w:tr w:rsidR="00712CF5" w14:paraId="5747F981" w14:textId="77777777">
        <w:trPr>
          <w:trHeight w:val="503"/>
        </w:trPr>
        <w:tc>
          <w:tcPr>
            <w:tcW w:w="3024" w:type="dxa"/>
          </w:tcPr>
          <w:p w14:paraId="5747F97D" w14:textId="77777777" w:rsidR="00712CF5" w:rsidRDefault="00787E6B">
            <w:pPr>
              <w:pStyle w:val="TableParagraph"/>
            </w:pPr>
            <w:r>
              <w:t>Poremećaji</w:t>
            </w:r>
            <w:r>
              <w:rPr>
                <w:spacing w:val="-5"/>
              </w:rPr>
              <w:t xml:space="preserve"> </w:t>
            </w:r>
            <w:r>
              <w:t>kože</w:t>
            </w:r>
            <w:r>
              <w:rPr>
                <w:spacing w:val="-5"/>
              </w:rPr>
              <w:t xml:space="preserve"> </w:t>
            </w:r>
            <w:r>
              <w:t>i</w:t>
            </w:r>
            <w:r>
              <w:rPr>
                <w:spacing w:val="-5"/>
              </w:rPr>
              <w:t xml:space="preserve"> </w:t>
            </w:r>
            <w:r>
              <w:rPr>
                <w:spacing w:val="-2"/>
              </w:rPr>
              <w:t>potkožnog</w:t>
            </w:r>
          </w:p>
          <w:p w14:paraId="5747F97E" w14:textId="77777777" w:rsidR="00712CF5" w:rsidRDefault="00787E6B">
            <w:pPr>
              <w:pStyle w:val="TableParagraph"/>
              <w:spacing w:before="1" w:line="238" w:lineRule="exact"/>
            </w:pPr>
            <w:r>
              <w:rPr>
                <w:spacing w:val="-2"/>
              </w:rPr>
              <w:t>tkiva</w:t>
            </w:r>
          </w:p>
        </w:tc>
        <w:tc>
          <w:tcPr>
            <w:tcW w:w="3019" w:type="dxa"/>
          </w:tcPr>
          <w:p w14:paraId="5747F97F" w14:textId="77777777" w:rsidR="00712CF5" w:rsidRDefault="00787E6B">
            <w:pPr>
              <w:pStyle w:val="TableParagraph"/>
            </w:pPr>
            <w:r>
              <w:rPr>
                <w:spacing w:val="-2"/>
              </w:rPr>
              <w:t>često</w:t>
            </w:r>
          </w:p>
        </w:tc>
        <w:tc>
          <w:tcPr>
            <w:tcW w:w="3024" w:type="dxa"/>
          </w:tcPr>
          <w:p w14:paraId="5747F980" w14:textId="77777777" w:rsidR="00712CF5" w:rsidRDefault="00787E6B">
            <w:pPr>
              <w:pStyle w:val="TableParagraph"/>
              <w:ind w:left="9"/>
            </w:pPr>
            <w:r>
              <w:rPr>
                <w:spacing w:val="-4"/>
              </w:rPr>
              <w:t>osip</w:t>
            </w:r>
          </w:p>
        </w:tc>
      </w:tr>
      <w:tr w:rsidR="00712CF5" w14:paraId="5747F987" w14:textId="77777777">
        <w:trPr>
          <w:trHeight w:val="508"/>
        </w:trPr>
        <w:tc>
          <w:tcPr>
            <w:tcW w:w="3024" w:type="dxa"/>
          </w:tcPr>
          <w:p w14:paraId="5747F982" w14:textId="77777777" w:rsidR="00712CF5" w:rsidRDefault="00787E6B">
            <w:pPr>
              <w:pStyle w:val="TableParagraph"/>
            </w:pPr>
            <w:r>
              <w:rPr>
                <w:spacing w:val="-2"/>
              </w:rPr>
              <w:t>Poremećaji</w:t>
            </w:r>
            <w:r>
              <w:rPr>
                <w:spacing w:val="17"/>
              </w:rPr>
              <w:t xml:space="preserve"> </w:t>
            </w:r>
            <w:r>
              <w:rPr>
                <w:spacing w:val="-2"/>
              </w:rPr>
              <w:t>mišićno-koštanog</w:t>
            </w:r>
          </w:p>
          <w:p w14:paraId="5747F983" w14:textId="77777777" w:rsidR="00712CF5" w:rsidRDefault="00787E6B">
            <w:pPr>
              <w:pStyle w:val="TableParagraph"/>
              <w:spacing w:before="1" w:line="243" w:lineRule="exact"/>
            </w:pPr>
            <w:r>
              <w:t>sistema</w:t>
            </w:r>
            <w:r>
              <w:rPr>
                <w:spacing w:val="1"/>
              </w:rPr>
              <w:t xml:space="preserve"> </w:t>
            </w:r>
            <w:r>
              <w:t>i</w:t>
            </w:r>
            <w:r>
              <w:rPr>
                <w:spacing w:val="-8"/>
              </w:rPr>
              <w:t xml:space="preserve"> </w:t>
            </w:r>
            <w:r>
              <w:t>vezivnog</w:t>
            </w:r>
            <w:r>
              <w:rPr>
                <w:spacing w:val="-7"/>
              </w:rPr>
              <w:t xml:space="preserve"> </w:t>
            </w:r>
            <w:r>
              <w:rPr>
                <w:spacing w:val="-2"/>
              </w:rPr>
              <w:t>tkiva</w:t>
            </w:r>
          </w:p>
        </w:tc>
        <w:tc>
          <w:tcPr>
            <w:tcW w:w="3019" w:type="dxa"/>
          </w:tcPr>
          <w:p w14:paraId="5747F984" w14:textId="77777777" w:rsidR="00712CF5" w:rsidRDefault="00787E6B">
            <w:pPr>
              <w:pStyle w:val="TableParagraph"/>
            </w:pPr>
            <w:r>
              <w:rPr>
                <w:spacing w:val="-2"/>
              </w:rPr>
              <w:t>često</w:t>
            </w:r>
          </w:p>
        </w:tc>
        <w:tc>
          <w:tcPr>
            <w:tcW w:w="3024" w:type="dxa"/>
          </w:tcPr>
          <w:p w14:paraId="5747F985" w14:textId="77777777" w:rsidR="00712CF5" w:rsidRDefault="00787E6B">
            <w:pPr>
              <w:pStyle w:val="TableParagraph"/>
              <w:ind w:left="9"/>
            </w:pPr>
            <w:r>
              <w:t>mijalgija,</w:t>
            </w:r>
            <w:r>
              <w:rPr>
                <w:spacing w:val="-7"/>
              </w:rPr>
              <w:t xml:space="preserve"> </w:t>
            </w:r>
            <w:r>
              <w:t>grčevi</w:t>
            </w:r>
            <w:r>
              <w:rPr>
                <w:spacing w:val="-4"/>
              </w:rPr>
              <w:t xml:space="preserve"> </w:t>
            </w:r>
            <w:r>
              <w:t>mišića,</w:t>
            </w:r>
            <w:r>
              <w:rPr>
                <w:spacing w:val="-7"/>
              </w:rPr>
              <w:t xml:space="preserve"> </w:t>
            </w:r>
            <w:r>
              <w:t>bol</w:t>
            </w:r>
            <w:r>
              <w:rPr>
                <w:spacing w:val="-6"/>
              </w:rPr>
              <w:t xml:space="preserve"> </w:t>
            </w:r>
            <w:r>
              <w:rPr>
                <w:spacing w:val="-10"/>
              </w:rPr>
              <w:t>u</w:t>
            </w:r>
          </w:p>
          <w:p w14:paraId="5747F986" w14:textId="77777777" w:rsidR="00712CF5" w:rsidRDefault="00787E6B">
            <w:pPr>
              <w:pStyle w:val="TableParagraph"/>
              <w:spacing w:before="1" w:line="243" w:lineRule="exact"/>
              <w:ind w:left="9"/>
            </w:pPr>
            <w:r>
              <w:rPr>
                <w:spacing w:val="-2"/>
              </w:rPr>
              <w:t>leđima</w:t>
            </w:r>
          </w:p>
        </w:tc>
      </w:tr>
      <w:tr w:rsidR="00712CF5" w14:paraId="5747F98C" w14:textId="77777777">
        <w:trPr>
          <w:trHeight w:val="503"/>
        </w:trPr>
        <w:tc>
          <w:tcPr>
            <w:tcW w:w="3024" w:type="dxa"/>
          </w:tcPr>
          <w:p w14:paraId="5747F988" w14:textId="77777777" w:rsidR="00712CF5" w:rsidRDefault="00787E6B">
            <w:pPr>
              <w:pStyle w:val="TableParagraph"/>
            </w:pPr>
            <w:r>
              <w:t>Opšti</w:t>
            </w:r>
            <w:r>
              <w:rPr>
                <w:spacing w:val="-7"/>
              </w:rPr>
              <w:t xml:space="preserve"> </w:t>
            </w:r>
            <w:r>
              <w:t>poremećaji</w:t>
            </w:r>
            <w:r>
              <w:rPr>
                <w:spacing w:val="-6"/>
              </w:rPr>
              <w:t xml:space="preserve"> </w:t>
            </w:r>
            <w:r>
              <w:t>i</w:t>
            </w:r>
            <w:r>
              <w:rPr>
                <w:spacing w:val="-7"/>
              </w:rPr>
              <w:t xml:space="preserve"> </w:t>
            </w:r>
            <w:r>
              <w:t>reakcije</w:t>
            </w:r>
            <w:r>
              <w:rPr>
                <w:spacing w:val="-6"/>
              </w:rPr>
              <w:t xml:space="preserve"> </w:t>
            </w:r>
            <w:r>
              <w:rPr>
                <w:spacing w:val="-5"/>
              </w:rPr>
              <w:t>na</w:t>
            </w:r>
          </w:p>
          <w:p w14:paraId="5747F989" w14:textId="77777777" w:rsidR="00712CF5" w:rsidRDefault="00787E6B">
            <w:pPr>
              <w:pStyle w:val="TableParagraph"/>
              <w:spacing w:before="1" w:line="238" w:lineRule="exact"/>
            </w:pPr>
            <w:r>
              <w:t>mestu</w:t>
            </w:r>
            <w:r>
              <w:rPr>
                <w:spacing w:val="-6"/>
              </w:rPr>
              <w:t xml:space="preserve"> </w:t>
            </w:r>
            <w:r>
              <w:rPr>
                <w:spacing w:val="-2"/>
              </w:rPr>
              <w:t>primene</w:t>
            </w:r>
          </w:p>
        </w:tc>
        <w:tc>
          <w:tcPr>
            <w:tcW w:w="3019" w:type="dxa"/>
          </w:tcPr>
          <w:p w14:paraId="5747F98A" w14:textId="77777777" w:rsidR="00712CF5" w:rsidRDefault="00787E6B">
            <w:pPr>
              <w:pStyle w:val="TableParagraph"/>
            </w:pPr>
            <w:r>
              <w:rPr>
                <w:spacing w:val="-2"/>
              </w:rPr>
              <w:t>često</w:t>
            </w:r>
          </w:p>
        </w:tc>
        <w:tc>
          <w:tcPr>
            <w:tcW w:w="3024" w:type="dxa"/>
          </w:tcPr>
          <w:p w14:paraId="5747F98B" w14:textId="77777777" w:rsidR="00712CF5" w:rsidRDefault="00787E6B">
            <w:pPr>
              <w:pStyle w:val="TableParagraph"/>
              <w:ind w:left="9"/>
            </w:pPr>
            <w:r>
              <w:rPr>
                <w:spacing w:val="-2"/>
              </w:rPr>
              <w:t>astenija</w:t>
            </w:r>
          </w:p>
        </w:tc>
      </w:tr>
      <w:tr w:rsidR="00712CF5" w14:paraId="5747F991" w14:textId="77777777">
        <w:trPr>
          <w:trHeight w:val="508"/>
        </w:trPr>
        <w:tc>
          <w:tcPr>
            <w:tcW w:w="3024" w:type="dxa"/>
          </w:tcPr>
          <w:p w14:paraId="5747F98D" w14:textId="77777777" w:rsidR="00712CF5" w:rsidRDefault="00787E6B">
            <w:pPr>
              <w:pStyle w:val="TableParagraph"/>
            </w:pPr>
            <w:r>
              <w:rPr>
                <w:spacing w:val="-2"/>
              </w:rPr>
              <w:t>Laboratorijska</w:t>
            </w:r>
            <w:r>
              <w:rPr>
                <w:spacing w:val="14"/>
              </w:rPr>
              <w:t xml:space="preserve"> </w:t>
            </w:r>
            <w:r>
              <w:rPr>
                <w:spacing w:val="-2"/>
              </w:rPr>
              <w:t>ispitivanja</w:t>
            </w:r>
          </w:p>
        </w:tc>
        <w:tc>
          <w:tcPr>
            <w:tcW w:w="3019" w:type="dxa"/>
          </w:tcPr>
          <w:p w14:paraId="5747F98E" w14:textId="77777777" w:rsidR="00712CF5" w:rsidRDefault="00787E6B">
            <w:pPr>
              <w:pStyle w:val="TableParagraph"/>
            </w:pPr>
            <w:r>
              <w:rPr>
                <w:spacing w:val="-2"/>
              </w:rPr>
              <w:t>često</w:t>
            </w:r>
          </w:p>
        </w:tc>
        <w:tc>
          <w:tcPr>
            <w:tcW w:w="3024" w:type="dxa"/>
          </w:tcPr>
          <w:p w14:paraId="5747F98F" w14:textId="77777777" w:rsidR="00712CF5" w:rsidRDefault="00787E6B">
            <w:pPr>
              <w:pStyle w:val="TableParagraph"/>
              <w:ind w:left="9"/>
            </w:pPr>
            <w:r>
              <w:rPr>
                <w:spacing w:val="-2"/>
              </w:rPr>
              <w:t>hipokalcemija†,</w:t>
            </w:r>
            <w:r>
              <w:rPr>
                <w:spacing w:val="15"/>
              </w:rPr>
              <w:t xml:space="preserve"> </w:t>
            </w:r>
            <w:r>
              <w:rPr>
                <w:spacing w:val="-2"/>
              </w:rPr>
              <w:t>hiperkalemija,</w:t>
            </w:r>
          </w:p>
          <w:p w14:paraId="5747F990" w14:textId="77777777" w:rsidR="00712CF5" w:rsidRDefault="00787E6B">
            <w:pPr>
              <w:pStyle w:val="TableParagraph"/>
              <w:spacing w:before="1" w:line="243" w:lineRule="exact"/>
              <w:ind w:left="9"/>
            </w:pPr>
            <w:r>
              <w:t>smanjene</w:t>
            </w:r>
            <w:r>
              <w:rPr>
                <w:spacing w:val="-9"/>
              </w:rPr>
              <w:t xml:space="preserve"> </w:t>
            </w:r>
            <w:r>
              <w:t>vrednosti</w:t>
            </w:r>
            <w:r>
              <w:rPr>
                <w:spacing w:val="-6"/>
              </w:rPr>
              <w:t xml:space="preserve"> </w:t>
            </w:r>
            <w:r>
              <w:rPr>
                <w:spacing w:val="-2"/>
              </w:rPr>
              <w:t>testosterona†</w:t>
            </w:r>
          </w:p>
        </w:tc>
      </w:tr>
    </w:tbl>
    <w:p w14:paraId="5747F992" w14:textId="6A5AB96B" w:rsidR="00712CF5" w:rsidRDefault="00787E6B">
      <w:pPr>
        <w:pStyle w:val="BodyText"/>
        <w:spacing w:before="8"/>
      </w:pPr>
      <w:r>
        <w:t>†videti</w:t>
      </w:r>
      <w:r>
        <w:rPr>
          <w:spacing w:val="-5"/>
        </w:rPr>
        <w:t xml:space="preserve"> </w:t>
      </w:r>
      <w:r>
        <w:t>d</w:t>
      </w:r>
      <w:r w:rsidR="00084491">
        <w:t>e</w:t>
      </w:r>
      <w:r>
        <w:t>o</w:t>
      </w:r>
      <w:r>
        <w:rPr>
          <w:spacing w:val="-5"/>
        </w:rPr>
        <w:t xml:space="preserve"> 4.4</w:t>
      </w:r>
    </w:p>
    <w:p w14:paraId="5747F993" w14:textId="358840EC" w:rsidR="00712CF5" w:rsidRDefault="00787E6B">
      <w:pPr>
        <w:pStyle w:val="BodyText"/>
        <w:spacing w:before="2"/>
      </w:pPr>
      <w:r>
        <w:t>*videti</w:t>
      </w:r>
      <w:r>
        <w:rPr>
          <w:spacing w:val="-5"/>
        </w:rPr>
        <w:t xml:space="preserve"> </w:t>
      </w:r>
      <w:r>
        <w:t>d</w:t>
      </w:r>
      <w:r w:rsidR="00084491">
        <w:t>e</w:t>
      </w:r>
      <w:r>
        <w:t>o</w:t>
      </w:r>
      <w:r>
        <w:rPr>
          <w:spacing w:val="-5"/>
        </w:rPr>
        <w:t xml:space="preserve"> </w:t>
      </w:r>
      <w:r>
        <w:rPr>
          <w:spacing w:val="-10"/>
        </w:rPr>
        <w:t>c</w:t>
      </w:r>
    </w:p>
    <w:p w14:paraId="5747F994" w14:textId="77777777" w:rsidR="00712CF5" w:rsidRDefault="00787E6B">
      <w:pPr>
        <w:pStyle w:val="BodyText"/>
        <w:spacing w:before="251"/>
      </w:pPr>
      <w:r>
        <w:t>Opis</w:t>
      </w:r>
      <w:r>
        <w:rPr>
          <w:spacing w:val="-8"/>
        </w:rPr>
        <w:t xml:space="preserve"> </w:t>
      </w:r>
      <w:r>
        <w:t>odabranih</w:t>
      </w:r>
      <w:r>
        <w:rPr>
          <w:spacing w:val="-7"/>
        </w:rPr>
        <w:t xml:space="preserve"> </w:t>
      </w:r>
      <w:r>
        <w:t>neželjenih</w:t>
      </w:r>
      <w:r>
        <w:rPr>
          <w:spacing w:val="-8"/>
        </w:rPr>
        <w:t xml:space="preserve"> </w:t>
      </w:r>
      <w:r>
        <w:rPr>
          <w:spacing w:val="-2"/>
        </w:rPr>
        <w:t>dejstava</w:t>
      </w:r>
    </w:p>
    <w:p w14:paraId="5747F995" w14:textId="77777777" w:rsidR="00712CF5" w:rsidRDefault="00712CF5">
      <w:pPr>
        <w:pStyle w:val="BodyText"/>
        <w:spacing w:before="2"/>
        <w:ind w:left="0"/>
      </w:pPr>
    </w:p>
    <w:p w14:paraId="5747F996" w14:textId="77777777" w:rsidR="00712CF5" w:rsidRDefault="00787E6B">
      <w:pPr>
        <w:pStyle w:val="Heading2"/>
        <w:spacing w:line="251" w:lineRule="exact"/>
        <w:ind w:left="140"/>
        <w:jc w:val="both"/>
      </w:pPr>
      <w:r>
        <w:t>Reakcije</w:t>
      </w:r>
      <w:r>
        <w:rPr>
          <w:spacing w:val="-8"/>
        </w:rPr>
        <w:t xml:space="preserve"> </w:t>
      </w:r>
      <w:r>
        <w:rPr>
          <w:spacing w:val="-2"/>
        </w:rPr>
        <w:t>preosetljivosti</w:t>
      </w:r>
    </w:p>
    <w:p w14:paraId="5747F997" w14:textId="77777777" w:rsidR="00712CF5" w:rsidRDefault="00787E6B">
      <w:pPr>
        <w:pStyle w:val="BodyText"/>
        <w:ind w:right="136"/>
        <w:jc w:val="both"/>
      </w:pPr>
      <w:r>
        <w:t>Reakcije preosetljivosti uključujući angioedem i urtikariju prepoznate su tokom uzimanja sinakalceta nakon stavljanja</w:t>
      </w:r>
      <w:r>
        <w:rPr>
          <w:spacing w:val="-1"/>
        </w:rPr>
        <w:t xml:space="preserve"> </w:t>
      </w:r>
      <w:r>
        <w:t>leka</w:t>
      </w:r>
      <w:r>
        <w:rPr>
          <w:spacing w:val="-1"/>
        </w:rPr>
        <w:t xml:space="preserve"> </w:t>
      </w:r>
      <w:r>
        <w:t>u</w:t>
      </w:r>
      <w:r>
        <w:rPr>
          <w:spacing w:val="-1"/>
        </w:rPr>
        <w:t xml:space="preserve"> </w:t>
      </w:r>
      <w:r>
        <w:t>promet.</w:t>
      </w:r>
      <w:r>
        <w:rPr>
          <w:spacing w:val="-1"/>
        </w:rPr>
        <w:t xml:space="preserve"> </w:t>
      </w:r>
      <w:r>
        <w:t>Učestalosti</w:t>
      </w:r>
      <w:r>
        <w:rPr>
          <w:spacing w:val="-1"/>
        </w:rPr>
        <w:t xml:space="preserve"> </w:t>
      </w:r>
      <w:r>
        <w:t>pojedinih</w:t>
      </w:r>
      <w:r>
        <w:rPr>
          <w:spacing w:val="-1"/>
        </w:rPr>
        <w:t xml:space="preserve"> </w:t>
      </w:r>
      <w:r>
        <w:t>standardnih</w:t>
      </w:r>
      <w:r>
        <w:rPr>
          <w:spacing w:val="-1"/>
        </w:rPr>
        <w:t xml:space="preserve"> </w:t>
      </w:r>
      <w:r>
        <w:t>izraza</w:t>
      </w:r>
      <w:r>
        <w:rPr>
          <w:spacing w:val="-1"/>
        </w:rPr>
        <w:t xml:space="preserve"> </w:t>
      </w:r>
      <w:r>
        <w:t>uključujući</w:t>
      </w:r>
      <w:r>
        <w:rPr>
          <w:spacing w:val="-1"/>
        </w:rPr>
        <w:t xml:space="preserve"> </w:t>
      </w:r>
      <w:r>
        <w:t>angioedem</w:t>
      </w:r>
      <w:r>
        <w:rPr>
          <w:spacing w:val="-1"/>
        </w:rPr>
        <w:t xml:space="preserve"> </w:t>
      </w:r>
      <w:r>
        <w:t>i</w:t>
      </w:r>
      <w:r>
        <w:rPr>
          <w:spacing w:val="-1"/>
        </w:rPr>
        <w:t xml:space="preserve"> </w:t>
      </w:r>
      <w:r>
        <w:t>urtikariju</w:t>
      </w:r>
      <w:r>
        <w:rPr>
          <w:spacing w:val="-1"/>
        </w:rPr>
        <w:t xml:space="preserve"> </w:t>
      </w:r>
      <w:r>
        <w:t>ne</w:t>
      </w:r>
      <w:r>
        <w:rPr>
          <w:spacing w:val="-1"/>
        </w:rPr>
        <w:t xml:space="preserve"> </w:t>
      </w:r>
      <w:r>
        <w:t>mogu se proceniti iz dostupnih podataka.</w:t>
      </w:r>
    </w:p>
    <w:p w14:paraId="5747F998" w14:textId="77777777" w:rsidR="00712CF5" w:rsidRDefault="00712CF5">
      <w:pPr>
        <w:pStyle w:val="BodyText"/>
        <w:spacing w:before="4"/>
        <w:ind w:left="0"/>
      </w:pPr>
    </w:p>
    <w:p w14:paraId="5747F999" w14:textId="77777777" w:rsidR="00712CF5" w:rsidRDefault="00787E6B">
      <w:pPr>
        <w:pStyle w:val="Heading2"/>
        <w:spacing w:line="251" w:lineRule="exact"/>
        <w:ind w:left="140"/>
        <w:jc w:val="both"/>
      </w:pPr>
      <w:r>
        <w:t>Hipotenzija</w:t>
      </w:r>
      <w:r>
        <w:rPr>
          <w:spacing w:val="-11"/>
        </w:rPr>
        <w:t xml:space="preserve"> </w:t>
      </w:r>
      <w:r>
        <w:t>i/ili</w:t>
      </w:r>
      <w:r>
        <w:rPr>
          <w:spacing w:val="-9"/>
        </w:rPr>
        <w:t xml:space="preserve"> </w:t>
      </w:r>
      <w:r>
        <w:t>pogoršanje</w:t>
      </w:r>
      <w:r>
        <w:rPr>
          <w:spacing w:val="-9"/>
        </w:rPr>
        <w:t xml:space="preserve"> </w:t>
      </w:r>
      <w:r>
        <w:t>srčane</w:t>
      </w:r>
      <w:r>
        <w:rPr>
          <w:spacing w:val="-8"/>
        </w:rPr>
        <w:t xml:space="preserve"> </w:t>
      </w:r>
      <w:r>
        <w:rPr>
          <w:spacing w:val="-2"/>
        </w:rPr>
        <w:t>insuficijencije</w:t>
      </w:r>
    </w:p>
    <w:p w14:paraId="5747F99A" w14:textId="77777777" w:rsidR="00712CF5" w:rsidRDefault="00787E6B">
      <w:pPr>
        <w:pStyle w:val="BodyText"/>
        <w:ind w:right="139"/>
        <w:jc w:val="both"/>
      </w:pPr>
      <w:r>
        <w:t>Tokom praćenja bezbednosti leka nakon stavljanja u promet zabeleženi su idiosinkratski slučajevi</w:t>
      </w:r>
      <w:r>
        <w:rPr>
          <w:spacing w:val="40"/>
        </w:rPr>
        <w:t xml:space="preserve"> </w:t>
      </w:r>
      <w:r>
        <w:t>hipotenzije i/ili pogoršanja srčane insuficijencije kod pacijenata koji su bili na terapiji sinakalcetom sa oštećenom srčanom funkcijom, čija se učestalost ne može proceniti iz dostupnih podataka.</w:t>
      </w:r>
    </w:p>
    <w:p w14:paraId="5747F99B" w14:textId="77777777" w:rsidR="00712CF5" w:rsidRDefault="00787E6B">
      <w:pPr>
        <w:pStyle w:val="Heading2"/>
        <w:spacing w:before="253" w:line="251" w:lineRule="exact"/>
        <w:ind w:left="140"/>
        <w:jc w:val="both"/>
      </w:pPr>
      <w:r>
        <w:t>Produženje</w:t>
      </w:r>
      <w:r>
        <w:rPr>
          <w:spacing w:val="-8"/>
        </w:rPr>
        <w:t xml:space="preserve"> </w:t>
      </w:r>
      <w:r>
        <w:t>QT</w:t>
      </w:r>
      <w:r>
        <w:rPr>
          <w:spacing w:val="-8"/>
        </w:rPr>
        <w:t xml:space="preserve"> </w:t>
      </w:r>
      <w:r>
        <w:t>intervala</w:t>
      </w:r>
      <w:r>
        <w:rPr>
          <w:spacing w:val="-8"/>
        </w:rPr>
        <w:t xml:space="preserve"> </w:t>
      </w:r>
      <w:r>
        <w:t>i</w:t>
      </w:r>
      <w:r>
        <w:rPr>
          <w:spacing w:val="-8"/>
        </w:rPr>
        <w:t xml:space="preserve"> </w:t>
      </w:r>
      <w:r>
        <w:t>ventrikularna</w:t>
      </w:r>
      <w:r>
        <w:rPr>
          <w:spacing w:val="-8"/>
        </w:rPr>
        <w:t xml:space="preserve"> </w:t>
      </w:r>
      <w:r>
        <w:t>aritmija</w:t>
      </w:r>
      <w:r>
        <w:rPr>
          <w:spacing w:val="-8"/>
        </w:rPr>
        <w:t xml:space="preserve"> </w:t>
      </w:r>
      <w:r>
        <w:t>uzrokovana</w:t>
      </w:r>
      <w:r>
        <w:rPr>
          <w:spacing w:val="-8"/>
        </w:rPr>
        <w:t xml:space="preserve"> </w:t>
      </w:r>
      <w:r>
        <w:rPr>
          <w:spacing w:val="-2"/>
        </w:rPr>
        <w:t>hipokalcemijom</w:t>
      </w:r>
    </w:p>
    <w:p w14:paraId="5747F99C" w14:textId="77777777" w:rsidR="00712CF5" w:rsidRDefault="00787E6B">
      <w:pPr>
        <w:pStyle w:val="BodyText"/>
        <w:ind w:right="140"/>
        <w:jc w:val="both"/>
      </w:pPr>
      <w:r>
        <w:t>Produženje QT intervala i ventrikularna aritmija uzrokovana hipokalcemijom ustanovljeni su tokom</w:t>
      </w:r>
      <w:r>
        <w:rPr>
          <w:spacing w:val="40"/>
        </w:rPr>
        <w:t xml:space="preserve"> </w:t>
      </w:r>
      <w:r>
        <w:t>uzimanja sinakalceta nakon stavljanja ovog leka u promet, s time da se njihova učestalost ne može proceniti iz dostupnih podataka (videti odeljak 4.4).</w:t>
      </w:r>
    </w:p>
    <w:p w14:paraId="5747F99D" w14:textId="77777777" w:rsidR="00712CF5" w:rsidRDefault="00787E6B">
      <w:pPr>
        <w:pStyle w:val="BodyText"/>
        <w:spacing w:before="252"/>
      </w:pPr>
      <w:r>
        <w:t>Pedijatrijska</w:t>
      </w:r>
      <w:r>
        <w:rPr>
          <w:spacing w:val="-13"/>
        </w:rPr>
        <w:t xml:space="preserve"> </w:t>
      </w:r>
      <w:r>
        <w:rPr>
          <w:spacing w:val="-2"/>
        </w:rPr>
        <w:t>populacija</w:t>
      </w:r>
    </w:p>
    <w:p w14:paraId="5747F99E" w14:textId="77777777" w:rsidR="00712CF5" w:rsidRDefault="00787E6B">
      <w:pPr>
        <w:pStyle w:val="BodyText"/>
        <w:spacing w:before="251"/>
        <w:ind w:right="136"/>
        <w:jc w:val="both"/>
      </w:pPr>
      <w:r>
        <w:t>Bezbednost i efikasnost primene leka Cineset za lečenje sekundarnog HPT-a kod pedijatrijskih pacijenata sa terminalnim stadijumom bolesti bubrega koji su na dijalizi ocenjivana je u dva randomizovana kontrolisana ispitivanja i jednom ispitivanju na jednoj grupi (videti odeljak 5.1). Od svih pedijatrijskih ispitanika koji su bili izloženi sinakalcetu u kliničkim ispitivanjima, ukupno je 19 ispitanika (24,1 %; 64,5 na 100 ispitanik- godina) imalo najmanje jedan štetni događaj hipokalcemije. Smrtni ishod bio je zabeležen u kliničkom ispitivanju kod jednog pedijatrijskog pacijenta sa teškom hipokalcemijom (videti odeljak 4.4).</w:t>
      </w:r>
    </w:p>
    <w:p w14:paraId="5747F99F" w14:textId="77777777" w:rsidR="00712CF5" w:rsidRDefault="00712CF5">
      <w:pPr>
        <w:pStyle w:val="BodyText"/>
        <w:ind w:left="0"/>
      </w:pPr>
    </w:p>
    <w:p w14:paraId="5747F9A0" w14:textId="77777777" w:rsidR="00712CF5" w:rsidRDefault="00787E6B">
      <w:pPr>
        <w:pStyle w:val="BodyText"/>
      </w:pPr>
      <w:r>
        <w:t>Sinakalcet</w:t>
      </w:r>
      <w:r>
        <w:rPr>
          <w:spacing w:val="80"/>
        </w:rPr>
        <w:t xml:space="preserve"> </w:t>
      </w:r>
      <w:r>
        <w:t>se</w:t>
      </w:r>
      <w:r>
        <w:rPr>
          <w:spacing w:val="80"/>
        </w:rPr>
        <w:t xml:space="preserve"> </w:t>
      </w:r>
      <w:r>
        <w:t>sme</w:t>
      </w:r>
      <w:r>
        <w:rPr>
          <w:spacing w:val="80"/>
        </w:rPr>
        <w:t xml:space="preserve"> </w:t>
      </w:r>
      <w:r>
        <w:t>propisivati</w:t>
      </w:r>
      <w:r>
        <w:rPr>
          <w:spacing w:val="80"/>
        </w:rPr>
        <w:t xml:space="preserve"> </w:t>
      </w:r>
      <w:r>
        <w:t>kod</w:t>
      </w:r>
      <w:r>
        <w:rPr>
          <w:spacing w:val="80"/>
        </w:rPr>
        <w:t xml:space="preserve"> </w:t>
      </w:r>
      <w:r>
        <w:t>pedijatrijskih</w:t>
      </w:r>
      <w:r>
        <w:rPr>
          <w:spacing w:val="80"/>
        </w:rPr>
        <w:t xml:space="preserve"> </w:t>
      </w:r>
      <w:r>
        <w:t>pacijenata</w:t>
      </w:r>
      <w:r>
        <w:rPr>
          <w:spacing w:val="80"/>
        </w:rPr>
        <w:t xml:space="preserve"> </w:t>
      </w:r>
      <w:r>
        <w:t>samo</w:t>
      </w:r>
      <w:r>
        <w:rPr>
          <w:spacing w:val="80"/>
        </w:rPr>
        <w:t xml:space="preserve"> </w:t>
      </w:r>
      <w:r>
        <w:t>ako</w:t>
      </w:r>
      <w:r>
        <w:rPr>
          <w:spacing w:val="80"/>
        </w:rPr>
        <w:t xml:space="preserve"> </w:t>
      </w:r>
      <w:r>
        <w:t>potencijalna</w:t>
      </w:r>
      <w:r>
        <w:rPr>
          <w:spacing w:val="80"/>
        </w:rPr>
        <w:t xml:space="preserve"> </w:t>
      </w:r>
      <w:r>
        <w:t>korist</w:t>
      </w:r>
      <w:r>
        <w:rPr>
          <w:spacing w:val="80"/>
        </w:rPr>
        <w:t xml:space="preserve"> </w:t>
      </w:r>
      <w:r>
        <w:t>opravdava potencijalan rizik.</w:t>
      </w:r>
    </w:p>
    <w:p w14:paraId="5747F9A1" w14:textId="77777777" w:rsidR="00712CF5" w:rsidRDefault="00787E6B">
      <w:pPr>
        <w:pStyle w:val="BodyText"/>
        <w:spacing w:before="253"/>
      </w:pPr>
      <w:r>
        <w:rPr>
          <w:u w:val="single"/>
        </w:rPr>
        <w:t>Prijavljivanje</w:t>
      </w:r>
      <w:r>
        <w:rPr>
          <w:spacing w:val="-12"/>
          <w:u w:val="single"/>
        </w:rPr>
        <w:t xml:space="preserve"> </w:t>
      </w:r>
      <w:r>
        <w:rPr>
          <w:u w:val="single"/>
        </w:rPr>
        <w:t>neželjenih</w:t>
      </w:r>
      <w:r>
        <w:rPr>
          <w:spacing w:val="-12"/>
          <w:u w:val="single"/>
        </w:rPr>
        <w:t xml:space="preserve"> </w:t>
      </w:r>
      <w:r>
        <w:rPr>
          <w:spacing w:val="-2"/>
          <w:u w:val="single"/>
        </w:rPr>
        <w:t>reakcija</w:t>
      </w:r>
    </w:p>
    <w:p w14:paraId="5747F9A2" w14:textId="77777777" w:rsidR="00712CF5" w:rsidRDefault="00712CF5">
      <w:pPr>
        <w:pStyle w:val="BodyText"/>
        <w:spacing w:before="2"/>
        <w:ind w:left="0"/>
      </w:pPr>
    </w:p>
    <w:p w14:paraId="5747F9A3" w14:textId="77777777" w:rsidR="00712CF5" w:rsidRDefault="00787E6B">
      <w:pPr>
        <w:pStyle w:val="BodyText"/>
        <w:ind w:right="140"/>
        <w:jc w:val="both"/>
      </w:pPr>
      <w:r>
        <w:t>Prijavljivanje sumnji na neželjene reakcije posle dobijanja dozvole za lek je važno. Time se omogućava kontinuirano praćenje odnosa koristi i rizika leka. Zdravstveni radnici treba da prijave svaku sumnju na neželjene reakcije na ovaj lek Agenciji za lekove i medicinska sredstva Srbije (ALIMS):</w:t>
      </w:r>
    </w:p>
    <w:p w14:paraId="5747F9A4" w14:textId="77777777" w:rsidR="00712CF5" w:rsidRDefault="00712CF5">
      <w:pPr>
        <w:pStyle w:val="BodyText"/>
        <w:jc w:val="both"/>
        <w:sectPr w:rsidR="00712CF5">
          <w:type w:val="continuous"/>
          <w:pgSz w:w="11910" w:h="16840"/>
          <w:pgMar w:top="880" w:right="992" w:bottom="1500" w:left="992" w:header="0" w:footer="1311" w:gutter="0"/>
          <w:cols w:space="720"/>
        </w:sectPr>
      </w:pPr>
    </w:p>
    <w:p w14:paraId="5747F9A5" w14:textId="77777777" w:rsidR="00712CF5" w:rsidRDefault="00787E6B">
      <w:pPr>
        <w:pStyle w:val="BodyText"/>
        <w:spacing w:before="65"/>
        <w:ind w:right="5580"/>
      </w:pPr>
      <w:r>
        <w:lastRenderedPageBreak/>
        <w:t>Agencija</w:t>
      </w:r>
      <w:r>
        <w:rPr>
          <w:spacing w:val="-5"/>
        </w:rPr>
        <w:t xml:space="preserve"> </w:t>
      </w:r>
      <w:r>
        <w:t>za</w:t>
      </w:r>
      <w:r>
        <w:rPr>
          <w:spacing w:val="-5"/>
        </w:rPr>
        <w:t xml:space="preserve"> </w:t>
      </w:r>
      <w:r>
        <w:t>lekove</w:t>
      </w:r>
      <w:r>
        <w:rPr>
          <w:spacing w:val="-5"/>
        </w:rPr>
        <w:t xml:space="preserve"> </w:t>
      </w:r>
      <w:r>
        <w:t>i</w:t>
      </w:r>
      <w:r>
        <w:rPr>
          <w:spacing w:val="-5"/>
        </w:rPr>
        <w:t xml:space="preserve"> </w:t>
      </w:r>
      <w:r>
        <w:t>medicinska</w:t>
      </w:r>
      <w:r>
        <w:rPr>
          <w:spacing w:val="-5"/>
        </w:rPr>
        <w:t xml:space="preserve"> </w:t>
      </w:r>
      <w:r>
        <w:t>sredstva</w:t>
      </w:r>
      <w:r>
        <w:rPr>
          <w:spacing w:val="-5"/>
        </w:rPr>
        <w:t xml:space="preserve"> </w:t>
      </w:r>
      <w:r>
        <w:t>Srbije Nacionalni centar za farmakovigilancu</w:t>
      </w:r>
      <w:r>
        <w:rPr>
          <w:spacing w:val="40"/>
        </w:rPr>
        <w:t xml:space="preserve"> </w:t>
      </w:r>
      <w:r>
        <w:t>Vojvode Stepe 458, 11221 Beograd</w:t>
      </w:r>
    </w:p>
    <w:p w14:paraId="5747F9A6" w14:textId="77777777" w:rsidR="00712CF5" w:rsidRDefault="00787E6B">
      <w:pPr>
        <w:pStyle w:val="BodyText"/>
        <w:spacing w:line="251" w:lineRule="exact"/>
      </w:pPr>
      <w:r>
        <w:t>Republika</w:t>
      </w:r>
      <w:r>
        <w:rPr>
          <w:spacing w:val="-10"/>
        </w:rPr>
        <w:t xml:space="preserve"> </w:t>
      </w:r>
      <w:r>
        <w:rPr>
          <w:spacing w:val="-2"/>
        </w:rPr>
        <w:t>Srbija</w:t>
      </w:r>
    </w:p>
    <w:p w14:paraId="5747F9A7" w14:textId="77777777" w:rsidR="00712CF5" w:rsidRDefault="00787E6B">
      <w:pPr>
        <w:pStyle w:val="BodyText"/>
        <w:spacing w:line="251" w:lineRule="exact"/>
      </w:pPr>
      <w:r>
        <w:t>fax:</w:t>
      </w:r>
      <w:r>
        <w:rPr>
          <w:spacing w:val="-3"/>
        </w:rPr>
        <w:t xml:space="preserve"> </w:t>
      </w:r>
      <w:r>
        <w:t>+381</w:t>
      </w:r>
      <w:r>
        <w:rPr>
          <w:spacing w:val="-3"/>
        </w:rPr>
        <w:t xml:space="preserve"> </w:t>
      </w:r>
      <w:r>
        <w:t>(0)11</w:t>
      </w:r>
      <w:r>
        <w:rPr>
          <w:spacing w:val="-4"/>
        </w:rPr>
        <w:t xml:space="preserve"> </w:t>
      </w:r>
      <w:r>
        <w:t>39</w:t>
      </w:r>
      <w:r>
        <w:rPr>
          <w:spacing w:val="-3"/>
        </w:rPr>
        <w:t xml:space="preserve"> </w:t>
      </w:r>
      <w:r>
        <w:t>51</w:t>
      </w:r>
      <w:r>
        <w:rPr>
          <w:spacing w:val="-3"/>
        </w:rPr>
        <w:t xml:space="preserve"> </w:t>
      </w:r>
      <w:r>
        <w:rPr>
          <w:spacing w:val="-5"/>
        </w:rPr>
        <w:t>131</w:t>
      </w:r>
    </w:p>
    <w:p w14:paraId="5747F9A8" w14:textId="77777777" w:rsidR="00712CF5" w:rsidRDefault="00787E6B">
      <w:pPr>
        <w:pStyle w:val="BodyText"/>
        <w:spacing w:before="1"/>
      </w:pPr>
      <w:r>
        <w:t>website:</w:t>
      </w:r>
      <w:r>
        <w:rPr>
          <w:spacing w:val="-8"/>
        </w:rPr>
        <w:t xml:space="preserve"> </w:t>
      </w:r>
      <w:hyperlink r:id="rId8">
        <w:r>
          <w:rPr>
            <w:spacing w:val="-2"/>
          </w:rPr>
          <w:t>www.alims.gov.rs</w:t>
        </w:r>
      </w:hyperlink>
    </w:p>
    <w:p w14:paraId="5747F9A9" w14:textId="77777777" w:rsidR="00712CF5" w:rsidRDefault="00787E6B">
      <w:pPr>
        <w:pStyle w:val="BodyText"/>
        <w:spacing w:before="2"/>
      </w:pPr>
      <w:r>
        <w:t>e-mail:</w:t>
      </w:r>
      <w:r>
        <w:rPr>
          <w:spacing w:val="-9"/>
        </w:rPr>
        <w:t xml:space="preserve"> </w:t>
      </w:r>
      <w:hyperlink r:id="rId9">
        <w:r>
          <w:rPr>
            <w:spacing w:val="-2"/>
          </w:rPr>
          <w:t>nezeljene.reakcije@alims.gov.rs</w:t>
        </w:r>
      </w:hyperlink>
    </w:p>
    <w:p w14:paraId="5747F9AA" w14:textId="77777777" w:rsidR="00712CF5" w:rsidRDefault="00712CF5">
      <w:pPr>
        <w:pStyle w:val="BodyText"/>
        <w:spacing w:before="2"/>
        <w:ind w:left="0"/>
      </w:pPr>
    </w:p>
    <w:p w14:paraId="5747F9AB" w14:textId="77777777" w:rsidR="00712CF5" w:rsidRDefault="00787E6B">
      <w:pPr>
        <w:pStyle w:val="Heading2"/>
        <w:numPr>
          <w:ilvl w:val="1"/>
          <w:numId w:val="3"/>
        </w:numPr>
        <w:tabs>
          <w:tab w:val="left" w:pos="522"/>
        </w:tabs>
        <w:ind w:left="522" w:hanging="382"/>
      </w:pPr>
      <w:r>
        <w:rPr>
          <w:spacing w:val="-2"/>
        </w:rPr>
        <w:t>Predoziranje</w:t>
      </w:r>
    </w:p>
    <w:p w14:paraId="5747F9AC" w14:textId="77777777" w:rsidR="00712CF5" w:rsidRDefault="00787E6B">
      <w:pPr>
        <w:pStyle w:val="BodyText"/>
        <w:spacing w:before="251"/>
        <w:ind w:right="143"/>
        <w:jc w:val="both"/>
      </w:pPr>
      <w:r>
        <w:t>Doze titrirane do 300 mg jednom dnevno sigurno su primenjene kod odraslih pacijenata na dijalizi bez</w:t>
      </w:r>
      <w:r>
        <w:rPr>
          <w:spacing w:val="40"/>
        </w:rPr>
        <w:t xml:space="preserve"> </w:t>
      </w:r>
      <w:r>
        <w:t>štetnih ishoda. Dnevna doza od 3,9 mg/kg bila je propisivana pedijatrijskim pacijentima na dijalizi u kliničkom ispitivanju, uz naknadnu blagu bol u stomaku, mučninu i povraćanje.</w:t>
      </w:r>
    </w:p>
    <w:p w14:paraId="5747F9AD" w14:textId="77777777" w:rsidR="00712CF5" w:rsidRDefault="00787E6B">
      <w:pPr>
        <w:pStyle w:val="BodyText"/>
        <w:spacing w:before="249"/>
        <w:ind w:right="140"/>
        <w:jc w:val="both"/>
      </w:pPr>
      <w:r>
        <w:t>Predoziranje sinakalcetom može izazvati hipokalcemiju. U slučaju predoziranja, pacijent se mora pažljivo posmatrati zbog znakova i simptoma hipokalcemije a terapija mora biti suportivna i simptomatska. Pošto se sinakalcet značajno vezuje za proteine, hemodijaliza nije efikasna u lečenju predoziranja.</w:t>
      </w:r>
    </w:p>
    <w:p w14:paraId="5747F9AE" w14:textId="77777777" w:rsidR="00712CF5" w:rsidRDefault="00787E6B">
      <w:pPr>
        <w:pStyle w:val="Heading1"/>
        <w:numPr>
          <w:ilvl w:val="0"/>
          <w:numId w:val="3"/>
        </w:numPr>
        <w:tabs>
          <w:tab w:val="left" w:pos="358"/>
        </w:tabs>
        <w:spacing w:before="211"/>
        <w:ind w:left="358" w:hanging="218"/>
      </w:pPr>
      <w:r>
        <w:t>FARMAKOLOŠKI</w:t>
      </w:r>
      <w:r>
        <w:rPr>
          <w:spacing w:val="-12"/>
        </w:rPr>
        <w:t xml:space="preserve"> </w:t>
      </w:r>
      <w:r>
        <w:rPr>
          <w:spacing w:val="-2"/>
        </w:rPr>
        <w:t>PODACI</w:t>
      </w:r>
    </w:p>
    <w:p w14:paraId="5747F9AF" w14:textId="77777777" w:rsidR="00712CF5" w:rsidRDefault="00787E6B">
      <w:pPr>
        <w:pStyle w:val="Heading2"/>
        <w:numPr>
          <w:ilvl w:val="1"/>
          <w:numId w:val="3"/>
        </w:numPr>
        <w:tabs>
          <w:tab w:val="left" w:pos="522"/>
        </w:tabs>
        <w:spacing w:before="198" w:line="249" w:lineRule="exact"/>
        <w:ind w:left="522" w:hanging="382"/>
      </w:pPr>
      <w:r>
        <w:rPr>
          <w:spacing w:val="-2"/>
        </w:rPr>
        <w:t>Farmakodinamski</w:t>
      </w:r>
      <w:r>
        <w:rPr>
          <w:spacing w:val="15"/>
        </w:rPr>
        <w:t xml:space="preserve"> </w:t>
      </w:r>
      <w:r>
        <w:rPr>
          <w:spacing w:val="-2"/>
        </w:rPr>
        <w:t>podaci</w:t>
      </w:r>
    </w:p>
    <w:p w14:paraId="5747F9B0" w14:textId="77777777" w:rsidR="00712CF5" w:rsidRDefault="00787E6B">
      <w:pPr>
        <w:spacing w:line="249" w:lineRule="exact"/>
        <w:ind w:left="140"/>
      </w:pPr>
      <w:r>
        <w:rPr>
          <w:b/>
        </w:rPr>
        <w:t>Farmakoterapijska</w:t>
      </w:r>
      <w:r>
        <w:rPr>
          <w:b/>
          <w:spacing w:val="-12"/>
        </w:rPr>
        <w:t xml:space="preserve"> </w:t>
      </w:r>
      <w:r>
        <w:rPr>
          <w:b/>
        </w:rPr>
        <w:t>grupa:</w:t>
      </w:r>
      <w:r>
        <w:rPr>
          <w:b/>
          <w:spacing w:val="-10"/>
        </w:rPr>
        <w:t xml:space="preserve"> </w:t>
      </w:r>
      <w:r>
        <w:t>Homeostaza</w:t>
      </w:r>
      <w:r>
        <w:rPr>
          <w:spacing w:val="-13"/>
        </w:rPr>
        <w:t xml:space="preserve"> </w:t>
      </w:r>
      <w:r>
        <w:t>kalcijuma,</w:t>
      </w:r>
      <w:r>
        <w:rPr>
          <w:spacing w:val="-11"/>
        </w:rPr>
        <w:t xml:space="preserve"> </w:t>
      </w:r>
      <w:r>
        <w:t>antiparatireoidni</w:t>
      </w:r>
      <w:r>
        <w:rPr>
          <w:spacing w:val="-10"/>
        </w:rPr>
        <w:t xml:space="preserve"> </w:t>
      </w:r>
      <w:r>
        <w:rPr>
          <w:spacing w:val="-2"/>
        </w:rPr>
        <w:t>lekovi</w:t>
      </w:r>
    </w:p>
    <w:p w14:paraId="5747F9B1" w14:textId="77777777" w:rsidR="00712CF5" w:rsidRDefault="00787E6B">
      <w:pPr>
        <w:spacing w:before="9" w:line="500" w:lineRule="atLeast"/>
        <w:ind w:left="140" w:right="7801"/>
        <w:jc w:val="both"/>
      </w:pPr>
      <w:r>
        <w:rPr>
          <w:b/>
        </w:rPr>
        <w:t>ATC</w:t>
      </w:r>
      <w:r>
        <w:rPr>
          <w:b/>
          <w:spacing w:val="-14"/>
        </w:rPr>
        <w:t xml:space="preserve"> </w:t>
      </w:r>
      <w:r>
        <w:rPr>
          <w:b/>
        </w:rPr>
        <w:t>šifra:</w:t>
      </w:r>
      <w:r>
        <w:rPr>
          <w:b/>
          <w:spacing w:val="-14"/>
        </w:rPr>
        <w:t xml:space="preserve"> </w:t>
      </w:r>
      <w:r>
        <w:t xml:space="preserve">H05BX01 </w:t>
      </w:r>
      <w:r>
        <w:rPr>
          <w:u w:val="single"/>
        </w:rPr>
        <w:t>Mehanizam</w:t>
      </w:r>
      <w:r>
        <w:rPr>
          <w:spacing w:val="-4"/>
          <w:u w:val="single"/>
        </w:rPr>
        <w:t xml:space="preserve"> </w:t>
      </w:r>
      <w:r>
        <w:rPr>
          <w:u w:val="single"/>
        </w:rPr>
        <w:t>delovanja</w:t>
      </w:r>
    </w:p>
    <w:p w14:paraId="5747F9B2" w14:textId="77777777" w:rsidR="00712CF5" w:rsidRDefault="00787E6B">
      <w:pPr>
        <w:pStyle w:val="BodyText"/>
        <w:spacing w:before="6"/>
        <w:ind w:right="138"/>
        <w:jc w:val="both"/>
      </w:pPr>
      <w:r>
        <w:t>Receptori kalcijuma na površini glavnih ćelija paratireoidne žlezde glavni su regulatori sekrecije PTH-a. Sinakalcet je kalcijumski mimetik koji direktno smanjuje vrednost PTH-a, povećavajući osetljivost receptora za vanćelijski kalcijum. Smanjenje PTH-a</w:t>
      </w:r>
      <w:r>
        <w:rPr>
          <w:spacing w:val="-1"/>
        </w:rPr>
        <w:t xml:space="preserve"> </w:t>
      </w:r>
      <w:r>
        <w:t>povezano</w:t>
      </w:r>
      <w:r>
        <w:rPr>
          <w:spacing w:val="-1"/>
        </w:rPr>
        <w:t xml:space="preserve"> </w:t>
      </w:r>
      <w:r>
        <w:t>je</w:t>
      </w:r>
      <w:r>
        <w:rPr>
          <w:spacing w:val="-1"/>
        </w:rPr>
        <w:t xml:space="preserve"> </w:t>
      </w:r>
      <w:r>
        <w:t>sa istovremenim</w:t>
      </w:r>
      <w:r>
        <w:rPr>
          <w:spacing w:val="-3"/>
        </w:rPr>
        <w:t xml:space="preserve"> </w:t>
      </w:r>
      <w:r>
        <w:t>smanjenjem</w:t>
      </w:r>
      <w:r>
        <w:rPr>
          <w:spacing w:val="-1"/>
        </w:rPr>
        <w:t xml:space="preserve"> </w:t>
      </w:r>
      <w:r>
        <w:t>koncentracije</w:t>
      </w:r>
      <w:r>
        <w:rPr>
          <w:spacing w:val="-1"/>
        </w:rPr>
        <w:t xml:space="preserve"> </w:t>
      </w:r>
      <w:r>
        <w:t>kalcijuma u serumu.</w:t>
      </w:r>
    </w:p>
    <w:p w14:paraId="5747F9B3" w14:textId="77777777" w:rsidR="00712CF5" w:rsidRDefault="00787E6B">
      <w:pPr>
        <w:pStyle w:val="BodyText"/>
        <w:spacing w:before="250"/>
        <w:jc w:val="both"/>
      </w:pPr>
      <w:r>
        <w:t>Smanjenje</w:t>
      </w:r>
      <w:r>
        <w:rPr>
          <w:spacing w:val="-11"/>
        </w:rPr>
        <w:t xml:space="preserve"> </w:t>
      </w:r>
      <w:r>
        <w:t>PTH-a</w:t>
      </w:r>
      <w:r>
        <w:rPr>
          <w:spacing w:val="-10"/>
        </w:rPr>
        <w:t xml:space="preserve"> </w:t>
      </w:r>
      <w:r>
        <w:t>korelira</w:t>
      </w:r>
      <w:r>
        <w:rPr>
          <w:spacing w:val="-9"/>
        </w:rPr>
        <w:t xml:space="preserve"> </w:t>
      </w:r>
      <w:r>
        <w:t>sa</w:t>
      </w:r>
      <w:r>
        <w:rPr>
          <w:spacing w:val="-9"/>
        </w:rPr>
        <w:t xml:space="preserve"> </w:t>
      </w:r>
      <w:r>
        <w:t>koncentracijom</w:t>
      </w:r>
      <w:r>
        <w:rPr>
          <w:spacing w:val="-9"/>
        </w:rPr>
        <w:t xml:space="preserve"> </w:t>
      </w:r>
      <w:r>
        <w:rPr>
          <w:spacing w:val="-2"/>
        </w:rPr>
        <w:t>sinakalceta.</w:t>
      </w:r>
    </w:p>
    <w:p w14:paraId="5747F9B4" w14:textId="77777777" w:rsidR="00712CF5" w:rsidRDefault="00712CF5">
      <w:pPr>
        <w:pStyle w:val="BodyText"/>
        <w:spacing w:before="3"/>
        <w:ind w:left="0"/>
      </w:pPr>
    </w:p>
    <w:p w14:paraId="5747F9B5" w14:textId="77777777" w:rsidR="00712CF5" w:rsidRDefault="00787E6B">
      <w:pPr>
        <w:pStyle w:val="BodyText"/>
        <w:jc w:val="both"/>
      </w:pPr>
      <w:r>
        <w:t>Nakon</w:t>
      </w:r>
      <w:r>
        <w:rPr>
          <w:spacing w:val="-8"/>
        </w:rPr>
        <w:t xml:space="preserve"> </w:t>
      </w:r>
      <w:r>
        <w:t>što</w:t>
      </w:r>
      <w:r>
        <w:rPr>
          <w:spacing w:val="-7"/>
        </w:rPr>
        <w:t xml:space="preserve"> </w:t>
      </w:r>
      <w:r>
        <w:t>se</w:t>
      </w:r>
      <w:r>
        <w:rPr>
          <w:spacing w:val="-7"/>
        </w:rPr>
        <w:t xml:space="preserve"> </w:t>
      </w:r>
      <w:r>
        <w:t>uspostavi</w:t>
      </w:r>
      <w:r>
        <w:rPr>
          <w:spacing w:val="-7"/>
        </w:rPr>
        <w:t xml:space="preserve"> </w:t>
      </w:r>
      <w:r>
        <w:t>ravnoteža,</w:t>
      </w:r>
      <w:r>
        <w:rPr>
          <w:spacing w:val="-5"/>
        </w:rPr>
        <w:t xml:space="preserve"> </w:t>
      </w:r>
      <w:r>
        <w:t>koncentracija</w:t>
      </w:r>
      <w:r>
        <w:rPr>
          <w:spacing w:val="-8"/>
        </w:rPr>
        <w:t xml:space="preserve"> </w:t>
      </w:r>
      <w:r>
        <w:t>kalcijuma</w:t>
      </w:r>
      <w:r>
        <w:rPr>
          <w:spacing w:val="-1"/>
        </w:rPr>
        <w:t xml:space="preserve"> </w:t>
      </w:r>
      <w:r>
        <w:t>u</w:t>
      </w:r>
      <w:r>
        <w:rPr>
          <w:spacing w:val="-5"/>
        </w:rPr>
        <w:t xml:space="preserve"> </w:t>
      </w:r>
      <w:r>
        <w:t>serumu</w:t>
      </w:r>
      <w:r>
        <w:rPr>
          <w:spacing w:val="-4"/>
        </w:rPr>
        <w:t xml:space="preserve"> </w:t>
      </w:r>
      <w:r>
        <w:t>ostaje</w:t>
      </w:r>
      <w:r>
        <w:rPr>
          <w:spacing w:val="-7"/>
        </w:rPr>
        <w:t xml:space="preserve"> </w:t>
      </w:r>
      <w:r>
        <w:t>stalna</w:t>
      </w:r>
      <w:r>
        <w:rPr>
          <w:spacing w:val="-7"/>
        </w:rPr>
        <w:t xml:space="preserve"> </w:t>
      </w:r>
      <w:r>
        <w:t>kroz</w:t>
      </w:r>
      <w:r>
        <w:rPr>
          <w:spacing w:val="-7"/>
        </w:rPr>
        <w:t xml:space="preserve"> </w:t>
      </w:r>
      <w:r>
        <w:t>interval</w:t>
      </w:r>
      <w:r>
        <w:rPr>
          <w:spacing w:val="-5"/>
        </w:rPr>
        <w:t xml:space="preserve"> </w:t>
      </w:r>
      <w:r>
        <w:rPr>
          <w:spacing w:val="-2"/>
        </w:rPr>
        <w:t>primene.</w:t>
      </w:r>
    </w:p>
    <w:p w14:paraId="5747F9B6" w14:textId="77777777" w:rsidR="00712CF5" w:rsidRDefault="00712CF5">
      <w:pPr>
        <w:pStyle w:val="BodyText"/>
        <w:spacing w:before="3"/>
        <w:ind w:left="0"/>
      </w:pPr>
    </w:p>
    <w:p w14:paraId="5747F9B7" w14:textId="77777777" w:rsidR="00712CF5" w:rsidRDefault="00787E6B">
      <w:pPr>
        <w:pStyle w:val="Heading2"/>
        <w:ind w:left="140"/>
        <w:jc w:val="both"/>
      </w:pPr>
      <w:r>
        <w:t>Sekundarni</w:t>
      </w:r>
      <w:r>
        <w:rPr>
          <w:spacing w:val="-10"/>
        </w:rPr>
        <w:t xml:space="preserve"> </w:t>
      </w:r>
      <w:r>
        <w:rPr>
          <w:spacing w:val="-2"/>
        </w:rPr>
        <w:t>hiperparatireoidizam</w:t>
      </w:r>
    </w:p>
    <w:p w14:paraId="5747F9B8" w14:textId="77777777" w:rsidR="00712CF5" w:rsidRDefault="00787E6B">
      <w:pPr>
        <w:pStyle w:val="BodyText"/>
        <w:spacing w:before="251" w:line="251" w:lineRule="exact"/>
      </w:pPr>
      <w:r>
        <w:rPr>
          <w:spacing w:val="-2"/>
          <w:u w:val="single"/>
        </w:rPr>
        <w:t>Odrasli</w:t>
      </w:r>
    </w:p>
    <w:p w14:paraId="5747F9B9" w14:textId="77777777" w:rsidR="00712CF5" w:rsidRDefault="00787E6B">
      <w:pPr>
        <w:pStyle w:val="BodyText"/>
      </w:pPr>
      <w:r>
        <w:t>Tri</w:t>
      </w:r>
      <w:r>
        <w:rPr>
          <w:spacing w:val="40"/>
        </w:rPr>
        <w:t xml:space="preserve"> </w:t>
      </w:r>
      <w:r>
        <w:t>šestomesečna,</w:t>
      </w:r>
      <w:r>
        <w:rPr>
          <w:spacing w:val="40"/>
        </w:rPr>
        <w:t xml:space="preserve"> </w:t>
      </w:r>
      <w:r>
        <w:t>dvostruko</w:t>
      </w:r>
      <w:r>
        <w:rPr>
          <w:spacing w:val="40"/>
        </w:rPr>
        <w:t xml:space="preserve"> </w:t>
      </w:r>
      <w:r>
        <w:t>slepa,</w:t>
      </w:r>
      <w:r>
        <w:rPr>
          <w:spacing w:val="40"/>
        </w:rPr>
        <w:t xml:space="preserve"> </w:t>
      </w:r>
      <w:r>
        <w:t>placebom</w:t>
      </w:r>
      <w:r>
        <w:rPr>
          <w:spacing w:val="40"/>
        </w:rPr>
        <w:t xml:space="preserve"> </w:t>
      </w:r>
      <w:r>
        <w:t>kontrolisana</w:t>
      </w:r>
      <w:r>
        <w:rPr>
          <w:spacing w:val="40"/>
        </w:rPr>
        <w:t xml:space="preserve"> </w:t>
      </w:r>
      <w:r>
        <w:t>ispitivanja</w:t>
      </w:r>
      <w:r>
        <w:rPr>
          <w:spacing w:val="40"/>
        </w:rPr>
        <w:t xml:space="preserve"> </w:t>
      </w:r>
      <w:r>
        <w:t>sprovedena</w:t>
      </w:r>
      <w:r>
        <w:rPr>
          <w:spacing w:val="40"/>
        </w:rPr>
        <w:t xml:space="preserve"> </w:t>
      </w:r>
      <w:r>
        <w:t>su</w:t>
      </w:r>
      <w:r>
        <w:rPr>
          <w:spacing w:val="40"/>
        </w:rPr>
        <w:t xml:space="preserve"> </w:t>
      </w:r>
      <w:r>
        <w:t>kod</w:t>
      </w:r>
      <w:r>
        <w:rPr>
          <w:spacing w:val="40"/>
        </w:rPr>
        <w:t xml:space="preserve"> </w:t>
      </w:r>
      <w:r>
        <w:t>pacijenata</w:t>
      </w:r>
      <w:r>
        <w:rPr>
          <w:spacing w:val="40"/>
        </w:rPr>
        <w:t xml:space="preserve"> </w:t>
      </w:r>
      <w:r>
        <w:t>sa terminalnom bolešću bubrega i nekontrolisanim sekundarnim HPT-om na dijalizi (n=1136).</w:t>
      </w:r>
    </w:p>
    <w:p w14:paraId="5747F9BA" w14:textId="472F6BA9" w:rsidR="00712CF5" w:rsidRDefault="00787E6B">
      <w:pPr>
        <w:pStyle w:val="BodyText"/>
        <w:spacing w:before="1"/>
        <w:ind w:right="138"/>
        <w:jc w:val="both"/>
      </w:pPr>
      <w:r>
        <w:t>Demografske i početne karakteristike bile su tipične za populaciju dijaliziranih pacijenata sa sekundarnim HPT-om. Srednja početna vrednost iPTH-a u tri ispitivanja bila je 733 piktograma/mL i 683 piktograma /mL (77,8 i 72,4 piktomola/L) za sinakalcet i placebo grupu. Na početku ispitivanja 66 % pacijenata primalo je sterole vitamina D, a &gt; 90 % pacijenata primalo</w:t>
      </w:r>
      <w:r>
        <w:rPr>
          <w:spacing w:val="-2"/>
        </w:rPr>
        <w:t xml:space="preserve"> </w:t>
      </w:r>
      <w:r>
        <w:t>je lekove</w:t>
      </w:r>
      <w:r>
        <w:rPr>
          <w:spacing w:val="-5"/>
        </w:rPr>
        <w:t xml:space="preserve"> </w:t>
      </w:r>
      <w:r>
        <w:t>za vezivanje</w:t>
      </w:r>
      <w:r>
        <w:rPr>
          <w:spacing w:val="-5"/>
        </w:rPr>
        <w:t xml:space="preserve"> </w:t>
      </w:r>
      <w:r>
        <w:t>fosfata. Značajna smanjenja</w:t>
      </w:r>
      <w:r>
        <w:rPr>
          <w:spacing w:val="-1"/>
        </w:rPr>
        <w:t xml:space="preserve"> </w:t>
      </w:r>
      <w:r>
        <w:t>vrednosti iPTH, koncentracije kalcijum-fosfor (Ca x P) u serumu, koncentracije kalcijuma i fosfora primećeno je u grupi</w:t>
      </w:r>
      <w:r>
        <w:rPr>
          <w:spacing w:val="-2"/>
        </w:rPr>
        <w:t xml:space="preserve"> </w:t>
      </w:r>
      <w:r>
        <w:t>lečenih</w:t>
      </w:r>
      <w:r>
        <w:rPr>
          <w:spacing w:val="-2"/>
        </w:rPr>
        <w:t xml:space="preserve"> </w:t>
      </w:r>
      <w:r w:rsidR="005D7067">
        <w:t>s</w:t>
      </w:r>
      <w:r>
        <w:t>inakalcetom,</w:t>
      </w:r>
      <w:r>
        <w:rPr>
          <w:spacing w:val="-2"/>
        </w:rPr>
        <w:t xml:space="preserve"> </w:t>
      </w:r>
      <w:r>
        <w:t>u poređenju sa placebo</w:t>
      </w:r>
      <w:r>
        <w:rPr>
          <w:spacing w:val="-2"/>
        </w:rPr>
        <w:t xml:space="preserve"> </w:t>
      </w:r>
      <w:r>
        <w:t>grupom</w:t>
      </w:r>
      <w:r>
        <w:rPr>
          <w:spacing w:val="-1"/>
        </w:rPr>
        <w:t xml:space="preserve"> </w:t>
      </w:r>
      <w:r>
        <w:t>koja</w:t>
      </w:r>
      <w:r>
        <w:rPr>
          <w:spacing w:val="-1"/>
        </w:rPr>
        <w:t xml:space="preserve"> </w:t>
      </w:r>
      <w:r>
        <w:t>je</w:t>
      </w:r>
      <w:r>
        <w:rPr>
          <w:spacing w:val="-1"/>
        </w:rPr>
        <w:t xml:space="preserve"> </w:t>
      </w:r>
      <w:r>
        <w:t>lečena</w:t>
      </w:r>
      <w:r>
        <w:rPr>
          <w:spacing w:val="-1"/>
        </w:rPr>
        <w:t xml:space="preserve"> </w:t>
      </w:r>
      <w:r>
        <w:t>standardnim</w:t>
      </w:r>
      <w:r>
        <w:rPr>
          <w:spacing w:val="-1"/>
        </w:rPr>
        <w:t xml:space="preserve"> </w:t>
      </w:r>
      <w:r>
        <w:t>načinom</w:t>
      </w:r>
      <w:r>
        <w:rPr>
          <w:spacing w:val="-1"/>
        </w:rPr>
        <w:t xml:space="preserve"> </w:t>
      </w:r>
      <w:r>
        <w:t>i</w:t>
      </w:r>
      <w:r>
        <w:rPr>
          <w:spacing w:val="-1"/>
        </w:rPr>
        <w:t xml:space="preserve"> </w:t>
      </w:r>
      <w:r>
        <w:t>rezultati</w:t>
      </w:r>
      <w:r>
        <w:rPr>
          <w:spacing w:val="-1"/>
        </w:rPr>
        <w:t xml:space="preserve"> </w:t>
      </w:r>
      <w:r>
        <w:t>su bili konzistentni u sva tri ispitivanja. U svakom od ispitivanja</w:t>
      </w:r>
      <w:r>
        <w:rPr>
          <w:spacing w:val="-1"/>
        </w:rPr>
        <w:t xml:space="preserve"> </w:t>
      </w:r>
      <w:r>
        <w:t>primarni ishod</w:t>
      </w:r>
      <w:r>
        <w:rPr>
          <w:spacing w:val="-1"/>
        </w:rPr>
        <w:t xml:space="preserve"> </w:t>
      </w:r>
      <w:r>
        <w:t>(postotak pacijenata sa iPTH ≤</w:t>
      </w:r>
    </w:p>
    <w:p w14:paraId="5747F9BB" w14:textId="5D5231AD" w:rsidR="00712CF5" w:rsidRDefault="00787E6B">
      <w:pPr>
        <w:pStyle w:val="BodyText"/>
        <w:ind w:right="140"/>
        <w:jc w:val="both"/>
      </w:pPr>
      <w:r>
        <w:t>250 piktograma /mL (≤ 26,5 piktomola/L)) postignut je u 41 %, 46 % i 35 % pacijenata lečenih</w:t>
      </w:r>
      <w:r>
        <w:rPr>
          <w:spacing w:val="40"/>
        </w:rPr>
        <w:t xml:space="preserve"> </w:t>
      </w:r>
      <w:r w:rsidR="005D7067">
        <w:t>s</w:t>
      </w:r>
      <w:r>
        <w:t>inakalcetom,</w:t>
      </w:r>
      <w:r>
        <w:rPr>
          <w:spacing w:val="-1"/>
        </w:rPr>
        <w:t xml:space="preserve"> </w:t>
      </w:r>
      <w:r>
        <w:t xml:space="preserve">u poređenju sa 4 %, 7 % i 6 % pacijenata koji su primili placebo. Oko 60 % pacijenata lečenih </w:t>
      </w:r>
      <w:r w:rsidR="005D7067">
        <w:t>s</w:t>
      </w:r>
      <w:r>
        <w:t>inakalcetom</w:t>
      </w:r>
      <w:r>
        <w:rPr>
          <w:spacing w:val="-2"/>
        </w:rPr>
        <w:t xml:space="preserve"> </w:t>
      </w:r>
      <w:r>
        <w:t>postiglo</w:t>
      </w:r>
      <w:r>
        <w:rPr>
          <w:spacing w:val="-2"/>
        </w:rPr>
        <w:t xml:space="preserve"> </w:t>
      </w:r>
      <w:r>
        <w:t>je</w:t>
      </w:r>
      <w:r>
        <w:rPr>
          <w:spacing w:val="-2"/>
        </w:rPr>
        <w:t xml:space="preserve"> </w:t>
      </w:r>
      <w:r>
        <w:t>smanjenje</w:t>
      </w:r>
      <w:r>
        <w:rPr>
          <w:spacing w:val="-1"/>
        </w:rPr>
        <w:t xml:space="preserve"> </w:t>
      </w:r>
      <w:r>
        <w:t>vrednosti</w:t>
      </w:r>
      <w:r>
        <w:rPr>
          <w:spacing w:val="-2"/>
        </w:rPr>
        <w:t xml:space="preserve"> </w:t>
      </w:r>
      <w:r>
        <w:t>iPTH</w:t>
      </w:r>
      <w:r>
        <w:rPr>
          <w:spacing w:val="-2"/>
        </w:rPr>
        <w:t xml:space="preserve"> </w:t>
      </w:r>
      <w:r>
        <w:t>za</w:t>
      </w:r>
      <w:r>
        <w:rPr>
          <w:spacing w:val="-4"/>
        </w:rPr>
        <w:t xml:space="preserve"> </w:t>
      </w:r>
      <w:r>
        <w:t>≥</w:t>
      </w:r>
      <w:r>
        <w:rPr>
          <w:spacing w:val="-1"/>
        </w:rPr>
        <w:t xml:space="preserve"> </w:t>
      </w:r>
      <w:r>
        <w:t>30</w:t>
      </w:r>
      <w:r>
        <w:rPr>
          <w:spacing w:val="-1"/>
        </w:rPr>
        <w:t xml:space="preserve"> </w:t>
      </w:r>
      <w:r>
        <w:t>%</w:t>
      </w:r>
      <w:r>
        <w:rPr>
          <w:spacing w:val="-1"/>
        </w:rPr>
        <w:t xml:space="preserve"> </w:t>
      </w:r>
      <w:r>
        <w:t>i</w:t>
      </w:r>
      <w:r>
        <w:rPr>
          <w:spacing w:val="-1"/>
        </w:rPr>
        <w:t xml:space="preserve"> </w:t>
      </w:r>
      <w:r>
        <w:t>taj</w:t>
      </w:r>
      <w:r>
        <w:rPr>
          <w:spacing w:val="-1"/>
        </w:rPr>
        <w:t xml:space="preserve"> </w:t>
      </w:r>
      <w:r>
        <w:t>učinak</w:t>
      </w:r>
      <w:r>
        <w:rPr>
          <w:spacing w:val="-2"/>
        </w:rPr>
        <w:t xml:space="preserve"> </w:t>
      </w:r>
      <w:r>
        <w:t>bio</w:t>
      </w:r>
      <w:r>
        <w:rPr>
          <w:spacing w:val="-2"/>
        </w:rPr>
        <w:t xml:space="preserve"> </w:t>
      </w:r>
      <w:r>
        <w:t>je</w:t>
      </w:r>
      <w:r>
        <w:rPr>
          <w:spacing w:val="-2"/>
        </w:rPr>
        <w:t xml:space="preserve"> </w:t>
      </w:r>
      <w:r>
        <w:t>stalan,</w:t>
      </w:r>
      <w:r>
        <w:rPr>
          <w:spacing w:val="-1"/>
        </w:rPr>
        <w:t xml:space="preserve"> </w:t>
      </w:r>
      <w:r>
        <w:t>bez</w:t>
      </w:r>
      <w:r>
        <w:rPr>
          <w:spacing w:val="-1"/>
        </w:rPr>
        <w:t xml:space="preserve"> </w:t>
      </w:r>
      <w:r>
        <w:t>obzira</w:t>
      </w:r>
      <w:r>
        <w:rPr>
          <w:spacing w:val="-1"/>
        </w:rPr>
        <w:t xml:space="preserve"> </w:t>
      </w:r>
      <w:r>
        <w:t>na</w:t>
      </w:r>
      <w:r>
        <w:rPr>
          <w:spacing w:val="-1"/>
        </w:rPr>
        <w:t xml:space="preserve"> </w:t>
      </w:r>
      <w:r>
        <w:t>početnu vrednost iPTH-a. Srednje vrednosti smanjenja koncentracije Ca x P, kalcijuma i fosfora u serumu kao i kalcijuma i fosfora, bilo je 14 %, 7 % odnosno 8 %.</w:t>
      </w:r>
    </w:p>
    <w:p w14:paraId="5747F9BC" w14:textId="77777777" w:rsidR="00712CF5" w:rsidRDefault="00712CF5">
      <w:pPr>
        <w:pStyle w:val="BodyText"/>
        <w:jc w:val="both"/>
        <w:sectPr w:rsidR="00712CF5">
          <w:pgSz w:w="11910" w:h="16840"/>
          <w:pgMar w:top="820" w:right="992" w:bottom="1500" w:left="992" w:header="0" w:footer="1311" w:gutter="0"/>
          <w:cols w:space="720"/>
        </w:sectPr>
      </w:pPr>
    </w:p>
    <w:p w14:paraId="5747F9BD" w14:textId="77777777" w:rsidR="00712CF5" w:rsidRDefault="00787E6B">
      <w:pPr>
        <w:pStyle w:val="BodyText"/>
        <w:spacing w:before="65"/>
        <w:ind w:right="140"/>
        <w:jc w:val="both"/>
      </w:pPr>
      <w:r>
        <w:lastRenderedPageBreak/>
        <w:t>Smanjenje koncentracije iPTH-a i Ca x P održavalo se tokom 12 meseci lečenja. Sinakalcet je smanjio koncentraciju iPTH i Ca x P, vrednosti kalcijuma i fosfora bez obzira na početnu vrednost iPTH-a ili Ca x P, tip dijalize (PD</w:t>
      </w:r>
      <w:r>
        <w:rPr>
          <w:spacing w:val="40"/>
        </w:rPr>
        <w:t xml:space="preserve"> </w:t>
      </w:r>
      <w:r>
        <w:t>u odnosu na HD), trajanje dijalize i bez obzira na primenu sterola vitamina D.</w:t>
      </w:r>
    </w:p>
    <w:p w14:paraId="5747F9BE" w14:textId="77777777" w:rsidR="00712CF5" w:rsidRDefault="00787E6B">
      <w:pPr>
        <w:pStyle w:val="BodyText"/>
        <w:spacing w:before="249"/>
        <w:ind w:right="140"/>
        <w:jc w:val="both"/>
      </w:pPr>
      <w:r>
        <w:t>Smanjenja koncentracija PTH bila su praćena redukcijama markera metabolizma kosti koje nisu bile statistički značajne (alkalne fosfataze specifične za kosti, N-telopeptid, životni ciklus kosti i fibroze kosti). U post-hok analizama podataka akumuliranih na osnovu šestomesečnih i 12-mesečnih kliničkih ispitivanja, Kaplan-Meierovom metodom, procenjeno</w:t>
      </w:r>
      <w:r>
        <w:rPr>
          <w:spacing w:val="-4"/>
        </w:rPr>
        <w:t xml:space="preserve"> </w:t>
      </w:r>
      <w:r>
        <w:t>je manje</w:t>
      </w:r>
      <w:r>
        <w:rPr>
          <w:spacing w:val="-4"/>
        </w:rPr>
        <w:t xml:space="preserve"> </w:t>
      </w:r>
      <w:r>
        <w:t>koštanih fraktura i paratireoidektomija</w:t>
      </w:r>
      <w:r>
        <w:rPr>
          <w:spacing w:val="-3"/>
        </w:rPr>
        <w:t xml:space="preserve"> </w:t>
      </w:r>
      <w:r>
        <w:t>u</w:t>
      </w:r>
      <w:r>
        <w:rPr>
          <w:spacing w:val="-3"/>
        </w:rPr>
        <w:t xml:space="preserve"> </w:t>
      </w:r>
      <w:r>
        <w:t>sinakalcet grupi u odnosu na kontrolnu grupu.</w:t>
      </w:r>
    </w:p>
    <w:p w14:paraId="5747F9BF" w14:textId="77777777" w:rsidR="00712CF5" w:rsidRDefault="00712CF5">
      <w:pPr>
        <w:pStyle w:val="BodyText"/>
        <w:spacing w:before="3"/>
        <w:ind w:left="0"/>
      </w:pPr>
    </w:p>
    <w:p w14:paraId="5747F9C0" w14:textId="77777777" w:rsidR="00712CF5" w:rsidRDefault="00787E6B">
      <w:pPr>
        <w:pStyle w:val="BodyText"/>
        <w:spacing w:before="1"/>
        <w:ind w:right="139"/>
        <w:jc w:val="both"/>
      </w:pPr>
      <w:r>
        <w:t>Istraživačke studije kod pacijenata sa hroničnom bolešću bubrega (CKD) i sekundarnim paratireoidizmom (HPT) koji nisu na dijalizi, malobrojni podaci kratkoročnih ispitivanja su ukazali na to da je sinakalcet smanjivao koncentracije PTH u sličnom obimu kao kod pacijenata sa terminalnim stadijumom bolesti bubrega ESRD i sekundarnim paratireoidizmom HPT koji su na dijalizi. Treba, međutim, istaći da</w:t>
      </w:r>
      <w:r>
        <w:rPr>
          <w:spacing w:val="40"/>
        </w:rPr>
        <w:t xml:space="preserve"> </w:t>
      </w:r>
      <w:r>
        <w:t>efikasnost, bezbednost, optimalne doze i ciljevi terapije nisu utvrđeni za pacijente sa oštećenjem funkcije bubrega kojima tek predstoji dijaliza. Ove studije pokazuju da kod pacijenata sa CKD, koji nisu na dijalizi a uzimaju sinakalcet, u odnosu na pacijente sa ESRD koji su na dijalizi i uzimaju sinakalcet, postoji povećan rizik za hipokalcemiju,</w:t>
      </w:r>
      <w:r>
        <w:rPr>
          <w:spacing w:val="40"/>
        </w:rPr>
        <w:t xml:space="preserve"> </w:t>
      </w:r>
      <w:r>
        <w:t>što bi moglo biti posledica manjih početnih koncentracija kalcijuma i/ili prisustva zaostale funkcije bubrega.</w:t>
      </w:r>
    </w:p>
    <w:p w14:paraId="5747F9C1" w14:textId="77777777" w:rsidR="00712CF5" w:rsidRDefault="00787E6B">
      <w:pPr>
        <w:pStyle w:val="BodyText"/>
        <w:spacing w:before="252"/>
        <w:ind w:right="139"/>
        <w:jc w:val="both"/>
      </w:pPr>
      <w:r>
        <w:t xml:space="preserve">EVOLVE studija (engl. </w:t>
      </w:r>
      <w:r>
        <w:rPr>
          <w:i/>
        </w:rPr>
        <w:t>EValuation Of Cinacalcet HCl Therapy to Lower CardioVascular Events</w:t>
      </w:r>
      <w:r>
        <w:t>) je bila randomizirana,</w:t>
      </w:r>
      <w:r>
        <w:rPr>
          <w:spacing w:val="-4"/>
        </w:rPr>
        <w:t xml:space="preserve"> </w:t>
      </w:r>
      <w:r>
        <w:t>duplo-slepa</w:t>
      </w:r>
      <w:r>
        <w:rPr>
          <w:spacing w:val="-3"/>
        </w:rPr>
        <w:t xml:space="preserve"> </w:t>
      </w:r>
      <w:r>
        <w:t>klinička</w:t>
      </w:r>
      <w:r>
        <w:rPr>
          <w:spacing w:val="-3"/>
        </w:rPr>
        <w:t xml:space="preserve"> </w:t>
      </w:r>
      <w:r>
        <w:t>studija</w:t>
      </w:r>
      <w:r>
        <w:rPr>
          <w:spacing w:val="-3"/>
        </w:rPr>
        <w:t xml:space="preserve"> </w:t>
      </w:r>
      <w:r>
        <w:t>koja</w:t>
      </w:r>
      <w:r>
        <w:rPr>
          <w:spacing w:val="-3"/>
        </w:rPr>
        <w:t xml:space="preserve"> </w:t>
      </w:r>
      <w:r>
        <w:t>je</w:t>
      </w:r>
      <w:r>
        <w:rPr>
          <w:spacing w:val="-3"/>
        </w:rPr>
        <w:t xml:space="preserve"> </w:t>
      </w:r>
      <w:r>
        <w:t>proučavala</w:t>
      </w:r>
      <w:r>
        <w:rPr>
          <w:spacing w:val="-3"/>
        </w:rPr>
        <w:t xml:space="preserve"> </w:t>
      </w:r>
      <w:r>
        <w:t>uticaj</w:t>
      </w:r>
      <w:r>
        <w:rPr>
          <w:spacing w:val="-3"/>
        </w:rPr>
        <w:t xml:space="preserve"> </w:t>
      </w:r>
      <w:r>
        <w:t>sinakalcet</w:t>
      </w:r>
      <w:r>
        <w:rPr>
          <w:spacing w:val="-3"/>
        </w:rPr>
        <w:t xml:space="preserve"> </w:t>
      </w:r>
      <w:r>
        <w:t>HCl</w:t>
      </w:r>
      <w:r>
        <w:rPr>
          <w:spacing w:val="-3"/>
        </w:rPr>
        <w:t xml:space="preserve"> </w:t>
      </w:r>
      <w:r>
        <w:t>vs.</w:t>
      </w:r>
      <w:r>
        <w:rPr>
          <w:spacing w:val="-3"/>
        </w:rPr>
        <w:t xml:space="preserve"> </w:t>
      </w:r>
      <w:r>
        <w:t>placebo</w:t>
      </w:r>
      <w:r>
        <w:rPr>
          <w:spacing w:val="-3"/>
        </w:rPr>
        <w:t xml:space="preserve"> </w:t>
      </w:r>
      <w:r>
        <w:t>na smanjenje rizika od smrtnog ishoda izazvanog svim uzrocima i kardiovaskularnih događaja kod 3883 pacijenta sa sekundarnim HPT i CKD koji su bili na dijalizi. Studija nije ostvarila svoj primarni cilj tj. postizanje smanjenja rizika od smrtnog ishoda izazvanog svim uzrocima ili kardiovaskularnih događaja, uključujući infarkt miokarda, hospitalizaciju nestabilne angine, oštećenje srca ili periferni vaskularni događaj (HR 0,93; 95% CI: 0,85; 1,02; p = 0,112). Nakon prilagođavanja osnovnih karakteristika u sekundarnoj analizi, HR za primarnu zbirnu završnu tačku bio je 0,88; 95% CI: 0,79; 0,97.</w:t>
      </w:r>
    </w:p>
    <w:p w14:paraId="5747F9C2" w14:textId="77777777" w:rsidR="00712CF5" w:rsidRDefault="00787E6B">
      <w:pPr>
        <w:spacing w:before="252"/>
        <w:ind w:left="140"/>
        <w:jc w:val="both"/>
        <w:rPr>
          <w:i/>
        </w:rPr>
      </w:pPr>
      <w:r>
        <w:rPr>
          <w:i/>
        </w:rPr>
        <w:t>Pedijatrijska</w:t>
      </w:r>
      <w:r>
        <w:rPr>
          <w:i/>
          <w:spacing w:val="-13"/>
        </w:rPr>
        <w:t xml:space="preserve"> </w:t>
      </w:r>
      <w:r>
        <w:rPr>
          <w:i/>
          <w:spacing w:val="-2"/>
        </w:rPr>
        <w:t>populacija</w:t>
      </w:r>
    </w:p>
    <w:p w14:paraId="5747F9C3" w14:textId="77777777" w:rsidR="00712CF5" w:rsidRDefault="00787E6B">
      <w:pPr>
        <w:pStyle w:val="BodyText"/>
        <w:spacing w:before="1"/>
        <w:ind w:right="139"/>
        <w:jc w:val="both"/>
      </w:pPr>
      <w:r>
        <w:t>Efikasnost i bezbednost sinakalceta za lečenje sekundarnog HPT-a kod pedijatrijskih pacijenata sa završnim stadijumom bolesti bubrega koji primaju dijalizu ocenjivana je u dva randomizovana kontrolisana ispitivanja i jednom ispitivanju na jednoj grupi.</w:t>
      </w:r>
    </w:p>
    <w:p w14:paraId="5747F9C4" w14:textId="77777777" w:rsidR="00712CF5" w:rsidRDefault="00787E6B">
      <w:pPr>
        <w:pStyle w:val="BodyText"/>
        <w:spacing w:before="249"/>
        <w:ind w:right="139"/>
      </w:pPr>
      <w:r>
        <w:t>Ispitivanje</w:t>
      </w:r>
      <w:r>
        <w:rPr>
          <w:spacing w:val="33"/>
        </w:rPr>
        <w:t xml:space="preserve"> </w:t>
      </w:r>
      <w:r>
        <w:t>1</w:t>
      </w:r>
      <w:r>
        <w:rPr>
          <w:spacing w:val="34"/>
        </w:rPr>
        <w:t xml:space="preserve"> </w:t>
      </w:r>
      <w:r>
        <w:t>bilo</w:t>
      </w:r>
      <w:r>
        <w:rPr>
          <w:spacing w:val="34"/>
        </w:rPr>
        <w:t xml:space="preserve"> </w:t>
      </w:r>
      <w:r>
        <w:t>je</w:t>
      </w:r>
      <w:r>
        <w:rPr>
          <w:spacing w:val="38"/>
        </w:rPr>
        <w:t xml:space="preserve"> </w:t>
      </w:r>
      <w:r>
        <w:t>dvostruko</w:t>
      </w:r>
      <w:r>
        <w:rPr>
          <w:spacing w:val="33"/>
        </w:rPr>
        <w:t xml:space="preserve"> </w:t>
      </w:r>
      <w:r>
        <w:t>slepo,</w:t>
      </w:r>
      <w:r>
        <w:rPr>
          <w:spacing w:val="33"/>
        </w:rPr>
        <w:t xml:space="preserve"> </w:t>
      </w:r>
      <w:r>
        <w:t>placebom</w:t>
      </w:r>
      <w:r>
        <w:rPr>
          <w:spacing w:val="38"/>
        </w:rPr>
        <w:t xml:space="preserve"> </w:t>
      </w:r>
      <w:r>
        <w:t>kontrolisano</w:t>
      </w:r>
      <w:r>
        <w:rPr>
          <w:spacing w:val="35"/>
        </w:rPr>
        <w:t xml:space="preserve"> </w:t>
      </w:r>
      <w:r>
        <w:t>ispitivanje</w:t>
      </w:r>
      <w:r>
        <w:rPr>
          <w:spacing w:val="33"/>
        </w:rPr>
        <w:t xml:space="preserve"> </w:t>
      </w:r>
      <w:r>
        <w:t>u</w:t>
      </w:r>
      <w:r>
        <w:rPr>
          <w:spacing w:val="39"/>
        </w:rPr>
        <w:t xml:space="preserve"> </w:t>
      </w:r>
      <w:r>
        <w:t>koje</w:t>
      </w:r>
      <w:r>
        <w:rPr>
          <w:spacing w:val="37"/>
        </w:rPr>
        <w:t xml:space="preserve"> </w:t>
      </w:r>
      <w:r>
        <w:t>je</w:t>
      </w:r>
      <w:r>
        <w:rPr>
          <w:spacing w:val="33"/>
        </w:rPr>
        <w:t xml:space="preserve"> </w:t>
      </w:r>
      <w:r>
        <w:t>uključeno</w:t>
      </w:r>
      <w:r>
        <w:rPr>
          <w:spacing w:val="33"/>
        </w:rPr>
        <w:t xml:space="preserve"> </w:t>
      </w:r>
      <w:r>
        <w:t>43</w:t>
      </w:r>
      <w:r>
        <w:rPr>
          <w:spacing w:val="34"/>
        </w:rPr>
        <w:t xml:space="preserve"> </w:t>
      </w:r>
      <w:r>
        <w:t>pacijenta starosti od 6 do &lt; 18 godina randomizovanih u grupu koja je primala sinakalcet (n = 22) ili placebo (n = 21). Ispitivanje se sastojalo od perioda titracije doze u trajanju od 24 nedelje,</w:t>
      </w:r>
      <w:r>
        <w:rPr>
          <w:spacing w:val="22"/>
        </w:rPr>
        <w:t xml:space="preserve"> </w:t>
      </w:r>
      <w:r>
        <w:t>nakon čega je usledila faza ocene delovanja</w:t>
      </w:r>
      <w:r>
        <w:rPr>
          <w:spacing w:val="30"/>
        </w:rPr>
        <w:t xml:space="preserve"> </w:t>
      </w:r>
      <w:r>
        <w:t>u</w:t>
      </w:r>
      <w:r>
        <w:rPr>
          <w:spacing w:val="29"/>
        </w:rPr>
        <w:t xml:space="preserve"> </w:t>
      </w:r>
      <w:r>
        <w:t>trajanju</w:t>
      </w:r>
      <w:r>
        <w:rPr>
          <w:spacing w:val="29"/>
        </w:rPr>
        <w:t xml:space="preserve"> </w:t>
      </w:r>
      <w:r>
        <w:t>od</w:t>
      </w:r>
      <w:r>
        <w:rPr>
          <w:spacing w:val="27"/>
        </w:rPr>
        <w:t xml:space="preserve"> </w:t>
      </w:r>
      <w:r>
        <w:t>6</w:t>
      </w:r>
      <w:r>
        <w:rPr>
          <w:spacing w:val="33"/>
        </w:rPr>
        <w:t xml:space="preserve"> </w:t>
      </w:r>
      <w:r>
        <w:t>nedelja,</w:t>
      </w:r>
      <w:r>
        <w:rPr>
          <w:spacing w:val="30"/>
        </w:rPr>
        <w:t xml:space="preserve"> </w:t>
      </w:r>
      <w:r>
        <w:t>a</w:t>
      </w:r>
      <w:r>
        <w:rPr>
          <w:spacing w:val="31"/>
        </w:rPr>
        <w:t xml:space="preserve"> </w:t>
      </w:r>
      <w:r>
        <w:t>zatim</w:t>
      </w:r>
      <w:r>
        <w:rPr>
          <w:spacing w:val="31"/>
        </w:rPr>
        <w:t xml:space="preserve"> </w:t>
      </w:r>
      <w:r>
        <w:t>otvoreni</w:t>
      </w:r>
      <w:r>
        <w:rPr>
          <w:spacing w:val="29"/>
        </w:rPr>
        <w:t xml:space="preserve"> </w:t>
      </w:r>
      <w:r>
        <w:t>nastavak</w:t>
      </w:r>
      <w:r>
        <w:rPr>
          <w:spacing w:val="28"/>
        </w:rPr>
        <w:t xml:space="preserve"> </w:t>
      </w:r>
      <w:r>
        <w:t>ispitivanja</w:t>
      </w:r>
      <w:r>
        <w:rPr>
          <w:spacing w:val="28"/>
        </w:rPr>
        <w:t xml:space="preserve"> </w:t>
      </w:r>
      <w:r>
        <w:t>u</w:t>
      </w:r>
      <w:r>
        <w:rPr>
          <w:spacing w:val="29"/>
        </w:rPr>
        <w:t xml:space="preserve"> </w:t>
      </w:r>
      <w:r>
        <w:t>trajanju</w:t>
      </w:r>
      <w:r>
        <w:rPr>
          <w:spacing w:val="32"/>
        </w:rPr>
        <w:t xml:space="preserve"> </w:t>
      </w:r>
      <w:r>
        <w:t>od</w:t>
      </w:r>
      <w:r>
        <w:rPr>
          <w:spacing w:val="27"/>
        </w:rPr>
        <w:t xml:space="preserve"> </w:t>
      </w:r>
      <w:r>
        <w:t>30</w:t>
      </w:r>
      <w:r>
        <w:rPr>
          <w:spacing w:val="29"/>
        </w:rPr>
        <w:t xml:space="preserve"> </w:t>
      </w:r>
      <w:r>
        <w:t>nedelja.</w:t>
      </w:r>
      <w:r>
        <w:rPr>
          <w:spacing w:val="30"/>
        </w:rPr>
        <w:t xml:space="preserve"> </w:t>
      </w:r>
      <w:r>
        <w:t>Srednja vrednost</w:t>
      </w:r>
      <w:r>
        <w:rPr>
          <w:spacing w:val="40"/>
        </w:rPr>
        <w:t xml:space="preserve"> </w:t>
      </w:r>
      <w:r>
        <w:t>godina</w:t>
      </w:r>
      <w:r>
        <w:rPr>
          <w:spacing w:val="40"/>
        </w:rPr>
        <w:t xml:space="preserve"> </w:t>
      </w:r>
      <w:r>
        <w:t>starosti</w:t>
      </w:r>
      <w:r>
        <w:rPr>
          <w:spacing w:val="40"/>
        </w:rPr>
        <w:t xml:space="preserve"> </w:t>
      </w:r>
      <w:r>
        <w:t>na</w:t>
      </w:r>
      <w:r>
        <w:rPr>
          <w:spacing w:val="40"/>
        </w:rPr>
        <w:t xml:space="preserve"> </w:t>
      </w:r>
      <w:r>
        <w:t>početku</w:t>
      </w:r>
      <w:r>
        <w:rPr>
          <w:spacing w:val="40"/>
        </w:rPr>
        <w:t xml:space="preserve"> </w:t>
      </w:r>
      <w:r>
        <w:t>ispitivanja</w:t>
      </w:r>
      <w:r>
        <w:rPr>
          <w:spacing w:val="40"/>
        </w:rPr>
        <w:t xml:space="preserve"> </w:t>
      </w:r>
      <w:r>
        <w:t>bila</w:t>
      </w:r>
      <w:r>
        <w:rPr>
          <w:spacing w:val="40"/>
        </w:rPr>
        <w:t xml:space="preserve"> </w:t>
      </w:r>
      <w:r>
        <w:t>je</w:t>
      </w:r>
      <w:r>
        <w:rPr>
          <w:spacing w:val="40"/>
        </w:rPr>
        <w:t xml:space="preserve"> </w:t>
      </w:r>
      <w:r>
        <w:t>13</w:t>
      </w:r>
      <w:r>
        <w:rPr>
          <w:spacing w:val="40"/>
        </w:rPr>
        <w:t xml:space="preserve"> </w:t>
      </w:r>
      <w:r>
        <w:t>godina</w:t>
      </w:r>
      <w:r>
        <w:rPr>
          <w:spacing w:val="40"/>
        </w:rPr>
        <w:t xml:space="preserve"> </w:t>
      </w:r>
      <w:r>
        <w:t>(raspon</w:t>
      </w:r>
      <w:r>
        <w:rPr>
          <w:spacing w:val="40"/>
        </w:rPr>
        <w:t xml:space="preserve"> </w:t>
      </w:r>
      <w:r>
        <w:t>od</w:t>
      </w:r>
      <w:r>
        <w:rPr>
          <w:spacing w:val="40"/>
        </w:rPr>
        <w:t xml:space="preserve"> </w:t>
      </w:r>
      <w:r>
        <w:t>6</w:t>
      </w:r>
      <w:r>
        <w:rPr>
          <w:spacing w:val="40"/>
        </w:rPr>
        <w:t xml:space="preserve"> </w:t>
      </w:r>
      <w:r>
        <w:t>do</w:t>
      </w:r>
      <w:r>
        <w:rPr>
          <w:spacing w:val="40"/>
        </w:rPr>
        <w:t xml:space="preserve"> </w:t>
      </w:r>
      <w:r>
        <w:t>18</w:t>
      </w:r>
      <w:r>
        <w:rPr>
          <w:spacing w:val="40"/>
        </w:rPr>
        <w:t xml:space="preserve"> </w:t>
      </w:r>
      <w:r>
        <w:t>godina).</w:t>
      </w:r>
      <w:r>
        <w:rPr>
          <w:spacing w:val="40"/>
        </w:rPr>
        <w:t xml:space="preserve"> </w:t>
      </w:r>
      <w:r>
        <w:t>Većina pacijenata (91%) je koristila sterole vitamina D na početku ispitivanja. Srednja vrednost (SD) koncentracija iPTH-a</w:t>
      </w:r>
      <w:r>
        <w:rPr>
          <w:spacing w:val="-3"/>
        </w:rPr>
        <w:t xml:space="preserve"> </w:t>
      </w:r>
      <w:r>
        <w:t>na</w:t>
      </w:r>
      <w:r>
        <w:rPr>
          <w:spacing w:val="-3"/>
        </w:rPr>
        <w:t xml:space="preserve"> </w:t>
      </w:r>
      <w:r>
        <w:t>početku</w:t>
      </w:r>
      <w:r>
        <w:rPr>
          <w:spacing w:val="-3"/>
        </w:rPr>
        <w:t xml:space="preserve"> </w:t>
      </w:r>
      <w:r>
        <w:t>ispitivanja</w:t>
      </w:r>
      <w:r>
        <w:rPr>
          <w:spacing w:val="-3"/>
        </w:rPr>
        <w:t xml:space="preserve"> </w:t>
      </w:r>
      <w:r>
        <w:t>bila</w:t>
      </w:r>
      <w:r>
        <w:rPr>
          <w:spacing w:val="-3"/>
        </w:rPr>
        <w:t xml:space="preserve"> </w:t>
      </w:r>
      <w:r>
        <w:t>je</w:t>
      </w:r>
      <w:r>
        <w:rPr>
          <w:spacing w:val="-3"/>
        </w:rPr>
        <w:t xml:space="preserve"> </w:t>
      </w:r>
      <w:r>
        <w:t>757,1</w:t>
      </w:r>
      <w:r>
        <w:rPr>
          <w:spacing w:val="-3"/>
        </w:rPr>
        <w:t xml:space="preserve"> </w:t>
      </w:r>
      <w:r>
        <w:t>(440,1)</w:t>
      </w:r>
      <w:r>
        <w:rPr>
          <w:spacing w:val="-1"/>
        </w:rPr>
        <w:t xml:space="preserve"> </w:t>
      </w:r>
      <w:r>
        <w:t>piktograma /mL u grupi koja</w:t>
      </w:r>
      <w:r>
        <w:rPr>
          <w:spacing w:val="-3"/>
        </w:rPr>
        <w:t xml:space="preserve"> </w:t>
      </w:r>
      <w:r>
        <w:t>je</w:t>
      </w:r>
      <w:r>
        <w:rPr>
          <w:spacing w:val="-3"/>
        </w:rPr>
        <w:t xml:space="preserve"> </w:t>
      </w:r>
      <w:r>
        <w:t>primala</w:t>
      </w:r>
      <w:r>
        <w:rPr>
          <w:spacing w:val="-1"/>
        </w:rPr>
        <w:t xml:space="preserve"> </w:t>
      </w:r>
      <w:r>
        <w:t>sinakalcet</w:t>
      </w:r>
      <w:r>
        <w:rPr>
          <w:spacing w:val="-1"/>
        </w:rPr>
        <w:t xml:space="preserve"> </w:t>
      </w:r>
      <w:r>
        <w:t>I</w:t>
      </w:r>
      <w:r>
        <w:rPr>
          <w:spacing w:val="-1"/>
        </w:rPr>
        <w:t xml:space="preserve"> </w:t>
      </w:r>
      <w:r>
        <w:t>795,8 (537,9) piktograma /mL u grupi koja je primala placebo. Srednja vrednost (SD) korigovanih koncentracija</w:t>
      </w:r>
      <w:r>
        <w:rPr>
          <w:spacing w:val="40"/>
        </w:rPr>
        <w:t xml:space="preserve"> </w:t>
      </w:r>
      <w:r>
        <w:t>ukupnog kalcijuma u serumu na</w:t>
      </w:r>
      <w:r>
        <w:rPr>
          <w:spacing w:val="-1"/>
        </w:rPr>
        <w:t xml:space="preserve"> </w:t>
      </w:r>
      <w:r>
        <w:t>početku</w:t>
      </w:r>
      <w:r>
        <w:rPr>
          <w:spacing w:val="-1"/>
        </w:rPr>
        <w:t xml:space="preserve"> </w:t>
      </w:r>
      <w:r>
        <w:t>ispitivanja</w:t>
      </w:r>
      <w:r>
        <w:rPr>
          <w:spacing w:val="-1"/>
        </w:rPr>
        <w:t xml:space="preserve"> </w:t>
      </w:r>
      <w:r>
        <w:t>bila</w:t>
      </w:r>
      <w:r>
        <w:rPr>
          <w:spacing w:val="-1"/>
        </w:rPr>
        <w:t xml:space="preserve"> </w:t>
      </w:r>
      <w:r>
        <w:t>je</w:t>
      </w:r>
      <w:r>
        <w:rPr>
          <w:spacing w:val="-1"/>
        </w:rPr>
        <w:t xml:space="preserve"> </w:t>
      </w:r>
      <w:r>
        <w:t>9,9</w:t>
      </w:r>
      <w:r>
        <w:rPr>
          <w:spacing w:val="-1"/>
        </w:rPr>
        <w:t xml:space="preserve"> </w:t>
      </w:r>
      <w:r>
        <w:t>(0,5)</w:t>
      </w:r>
      <w:r>
        <w:rPr>
          <w:spacing w:val="-1"/>
        </w:rPr>
        <w:t xml:space="preserve"> </w:t>
      </w:r>
      <w:r>
        <w:t>mg/dL u grupi koja</w:t>
      </w:r>
      <w:r>
        <w:rPr>
          <w:spacing w:val="-2"/>
        </w:rPr>
        <w:t xml:space="preserve"> </w:t>
      </w:r>
      <w:r>
        <w:t>je</w:t>
      </w:r>
      <w:r>
        <w:rPr>
          <w:spacing w:val="-2"/>
        </w:rPr>
        <w:t xml:space="preserve"> </w:t>
      </w:r>
      <w:r>
        <w:t>primala sinakalcet i 9,9 (0,6)</w:t>
      </w:r>
      <w:r>
        <w:rPr>
          <w:spacing w:val="19"/>
        </w:rPr>
        <w:t xml:space="preserve"> </w:t>
      </w:r>
      <w:r>
        <w:t>mg/dL u</w:t>
      </w:r>
      <w:r>
        <w:rPr>
          <w:spacing w:val="19"/>
        </w:rPr>
        <w:t xml:space="preserve"> </w:t>
      </w:r>
      <w:r>
        <w:t>grupi koja je primala placebo. Srednja</w:t>
      </w:r>
      <w:r>
        <w:rPr>
          <w:spacing w:val="20"/>
        </w:rPr>
        <w:t xml:space="preserve"> </w:t>
      </w:r>
      <w:r>
        <w:t>maksimalna dnevna doza sinakalceta bila</w:t>
      </w:r>
      <w:r>
        <w:rPr>
          <w:spacing w:val="19"/>
        </w:rPr>
        <w:t xml:space="preserve"> </w:t>
      </w:r>
      <w:r>
        <w:t xml:space="preserve">je 1,0 </w:t>
      </w:r>
      <w:r>
        <w:rPr>
          <w:spacing w:val="-2"/>
        </w:rPr>
        <w:t>mg/kg/dan.</w:t>
      </w:r>
    </w:p>
    <w:p w14:paraId="5747F9C5" w14:textId="77777777" w:rsidR="00712CF5" w:rsidRDefault="00712CF5">
      <w:pPr>
        <w:pStyle w:val="BodyText"/>
        <w:spacing w:before="3"/>
        <w:ind w:left="0"/>
      </w:pPr>
    </w:p>
    <w:p w14:paraId="5747F9C6" w14:textId="77777777" w:rsidR="00712CF5" w:rsidRDefault="00787E6B">
      <w:pPr>
        <w:pStyle w:val="BodyText"/>
        <w:ind w:right="140"/>
        <w:jc w:val="both"/>
      </w:pPr>
      <w:r>
        <w:t>Procenat pacijenata koji</w:t>
      </w:r>
      <w:r>
        <w:rPr>
          <w:spacing w:val="-3"/>
        </w:rPr>
        <w:t xml:space="preserve"> </w:t>
      </w:r>
      <w:r>
        <w:t>su</w:t>
      </w:r>
      <w:r>
        <w:rPr>
          <w:spacing w:val="-3"/>
        </w:rPr>
        <w:t xml:space="preserve"> </w:t>
      </w:r>
      <w:r>
        <w:t>postigli</w:t>
      </w:r>
      <w:r>
        <w:rPr>
          <w:spacing w:val="-3"/>
        </w:rPr>
        <w:t xml:space="preserve"> </w:t>
      </w:r>
      <w:r>
        <w:t>primarnu</w:t>
      </w:r>
      <w:r>
        <w:rPr>
          <w:spacing w:val="-3"/>
        </w:rPr>
        <w:t xml:space="preserve"> </w:t>
      </w:r>
      <w:r>
        <w:t>meru</w:t>
      </w:r>
      <w:r>
        <w:rPr>
          <w:spacing w:val="-3"/>
        </w:rPr>
        <w:t xml:space="preserve"> </w:t>
      </w:r>
      <w:r>
        <w:t>ishoda</w:t>
      </w:r>
      <w:r>
        <w:rPr>
          <w:spacing w:val="-3"/>
        </w:rPr>
        <w:t xml:space="preserve"> </w:t>
      </w:r>
      <w:r>
        <w:t>(smanjenje</w:t>
      </w:r>
      <w:r>
        <w:rPr>
          <w:spacing w:val="-3"/>
        </w:rPr>
        <w:t xml:space="preserve"> </w:t>
      </w:r>
      <w:r>
        <w:t>srednje</w:t>
      </w:r>
      <w:r>
        <w:rPr>
          <w:spacing w:val="-3"/>
        </w:rPr>
        <w:t xml:space="preserve"> </w:t>
      </w:r>
      <w:r>
        <w:t>vrednosti</w:t>
      </w:r>
      <w:r>
        <w:rPr>
          <w:spacing w:val="-3"/>
        </w:rPr>
        <w:t xml:space="preserve"> </w:t>
      </w:r>
      <w:r>
        <w:t>iPTH-a</w:t>
      </w:r>
      <w:r>
        <w:rPr>
          <w:spacing w:val="-4"/>
        </w:rPr>
        <w:t xml:space="preserve"> </w:t>
      </w:r>
      <w:r>
        <w:t>u</w:t>
      </w:r>
      <w:r>
        <w:rPr>
          <w:spacing w:val="-4"/>
        </w:rPr>
        <w:t xml:space="preserve"> </w:t>
      </w:r>
      <w:r>
        <w:t>plazmi</w:t>
      </w:r>
      <w:r>
        <w:rPr>
          <w:spacing w:val="-4"/>
        </w:rPr>
        <w:t xml:space="preserve"> </w:t>
      </w:r>
      <w:r>
        <w:t>od</w:t>
      </w:r>
      <w:r>
        <w:rPr>
          <w:spacing w:val="-1"/>
        </w:rPr>
        <w:t xml:space="preserve"> </w:t>
      </w:r>
      <w:r>
        <w:t>≥ 30 % u odnosu na početnu tokom faze ocene efikasnosti; 25. do 30. nedelja) iznosio je 55 % u grupi koja je uzimala sinakalcet i 19,0 % u grupi koja je primala placebo (p = 0,02).</w:t>
      </w:r>
    </w:p>
    <w:p w14:paraId="5747F9C7" w14:textId="77777777" w:rsidR="00712CF5" w:rsidRDefault="00787E6B">
      <w:pPr>
        <w:pStyle w:val="BodyText"/>
        <w:ind w:right="140"/>
        <w:jc w:val="both"/>
      </w:pPr>
      <w:r>
        <w:t>Srednja vrednost koncentracije kalcijuma u serumu tokom faze ocene efikasnosti bila je unutar referentnih vrednosti za grupu lečenu sinakalcetom. Ovo ispitivanje je prekinuto ranije zbog smrtnog ishoda povezanog sa teškom hipokalcemijom u grupi koja je primala sinakalcet (videti odeljak 4.8).</w:t>
      </w:r>
    </w:p>
    <w:p w14:paraId="5747F9C8" w14:textId="77777777" w:rsidR="00712CF5" w:rsidRDefault="00712CF5">
      <w:pPr>
        <w:pStyle w:val="BodyText"/>
        <w:ind w:left="0"/>
      </w:pPr>
    </w:p>
    <w:p w14:paraId="5747F9C9" w14:textId="56211ACC" w:rsidR="00712CF5" w:rsidRDefault="00787E6B">
      <w:pPr>
        <w:pStyle w:val="BodyText"/>
        <w:ind w:right="139"/>
        <w:jc w:val="both"/>
      </w:pPr>
      <w:r>
        <w:t>Ispitivanje</w:t>
      </w:r>
      <w:r>
        <w:rPr>
          <w:spacing w:val="-2"/>
        </w:rPr>
        <w:t xml:space="preserve"> </w:t>
      </w:r>
      <w:r>
        <w:t>2</w:t>
      </w:r>
      <w:r>
        <w:rPr>
          <w:spacing w:val="-2"/>
        </w:rPr>
        <w:t xml:space="preserve"> </w:t>
      </w:r>
      <w:r>
        <w:t>bilo</w:t>
      </w:r>
      <w:r>
        <w:rPr>
          <w:spacing w:val="-2"/>
        </w:rPr>
        <w:t xml:space="preserve"> </w:t>
      </w:r>
      <w:r>
        <w:t>je</w:t>
      </w:r>
      <w:r>
        <w:rPr>
          <w:spacing w:val="-2"/>
        </w:rPr>
        <w:t xml:space="preserve"> </w:t>
      </w:r>
      <w:r>
        <w:t>otvoreno</w:t>
      </w:r>
      <w:r>
        <w:rPr>
          <w:spacing w:val="-2"/>
        </w:rPr>
        <w:t xml:space="preserve"> </w:t>
      </w:r>
      <w:r>
        <w:t>ispitivanje</w:t>
      </w:r>
      <w:r>
        <w:rPr>
          <w:spacing w:val="-2"/>
        </w:rPr>
        <w:t xml:space="preserve"> </w:t>
      </w:r>
      <w:r>
        <w:t>sa 55 pacijenta starosti</w:t>
      </w:r>
      <w:r>
        <w:rPr>
          <w:spacing w:val="-3"/>
        </w:rPr>
        <w:t xml:space="preserve"> </w:t>
      </w:r>
      <w:r>
        <w:t>od</w:t>
      </w:r>
      <w:r>
        <w:rPr>
          <w:spacing w:val="-2"/>
        </w:rPr>
        <w:t xml:space="preserve"> </w:t>
      </w:r>
      <w:r>
        <w:t>6</w:t>
      </w:r>
      <w:r>
        <w:rPr>
          <w:spacing w:val="-2"/>
        </w:rPr>
        <w:t xml:space="preserve"> </w:t>
      </w:r>
      <w:r>
        <w:t>do</w:t>
      </w:r>
      <w:r>
        <w:rPr>
          <w:spacing w:val="-2"/>
        </w:rPr>
        <w:t xml:space="preserve"> </w:t>
      </w:r>
      <w:r>
        <w:t>&lt;</w:t>
      </w:r>
      <w:r>
        <w:rPr>
          <w:spacing w:val="-2"/>
        </w:rPr>
        <w:t xml:space="preserve"> </w:t>
      </w:r>
      <w:r>
        <w:t>18</w:t>
      </w:r>
      <w:r>
        <w:rPr>
          <w:spacing w:val="-2"/>
        </w:rPr>
        <w:t xml:space="preserve"> </w:t>
      </w:r>
      <w:r>
        <w:t>godina</w:t>
      </w:r>
      <w:r>
        <w:rPr>
          <w:spacing w:val="-2"/>
        </w:rPr>
        <w:t xml:space="preserve"> </w:t>
      </w:r>
      <w:r>
        <w:t>(srednja vrednost</w:t>
      </w:r>
      <w:r>
        <w:rPr>
          <w:spacing w:val="-2"/>
        </w:rPr>
        <w:t xml:space="preserve"> </w:t>
      </w:r>
      <w:r>
        <w:t>godina starosti</w:t>
      </w:r>
      <w:r>
        <w:rPr>
          <w:spacing w:val="25"/>
        </w:rPr>
        <w:t xml:space="preserve"> </w:t>
      </w:r>
      <w:r>
        <w:t>13</w:t>
      </w:r>
      <w:r>
        <w:rPr>
          <w:spacing w:val="29"/>
        </w:rPr>
        <w:t xml:space="preserve"> </w:t>
      </w:r>
      <w:r>
        <w:t>godina)</w:t>
      </w:r>
      <w:r>
        <w:rPr>
          <w:spacing w:val="28"/>
        </w:rPr>
        <w:t xml:space="preserve"> </w:t>
      </w:r>
      <w:r>
        <w:t>randomizovanih</w:t>
      </w:r>
      <w:r>
        <w:rPr>
          <w:spacing w:val="28"/>
        </w:rPr>
        <w:t xml:space="preserve"> </w:t>
      </w:r>
      <w:r>
        <w:t>u</w:t>
      </w:r>
      <w:r>
        <w:rPr>
          <w:spacing w:val="34"/>
        </w:rPr>
        <w:t xml:space="preserve"> </w:t>
      </w:r>
      <w:r>
        <w:t>grupu</w:t>
      </w:r>
      <w:r>
        <w:rPr>
          <w:spacing w:val="29"/>
        </w:rPr>
        <w:t xml:space="preserve"> </w:t>
      </w:r>
      <w:r>
        <w:t>koja</w:t>
      </w:r>
      <w:r>
        <w:rPr>
          <w:spacing w:val="29"/>
        </w:rPr>
        <w:t xml:space="preserve"> </w:t>
      </w:r>
      <w:r>
        <w:t>je</w:t>
      </w:r>
      <w:r>
        <w:rPr>
          <w:spacing w:val="33"/>
        </w:rPr>
        <w:t xml:space="preserve"> </w:t>
      </w:r>
      <w:r>
        <w:t>primala</w:t>
      </w:r>
      <w:r>
        <w:rPr>
          <w:spacing w:val="29"/>
        </w:rPr>
        <w:t xml:space="preserve"> </w:t>
      </w:r>
      <w:r>
        <w:t>sinakalcet</w:t>
      </w:r>
      <w:r>
        <w:rPr>
          <w:spacing w:val="27"/>
        </w:rPr>
        <w:t xml:space="preserve"> </w:t>
      </w:r>
      <w:r>
        <w:t>uz</w:t>
      </w:r>
      <w:r>
        <w:rPr>
          <w:spacing w:val="30"/>
        </w:rPr>
        <w:t xml:space="preserve"> </w:t>
      </w:r>
      <w:r>
        <w:t>standardno</w:t>
      </w:r>
      <w:r>
        <w:rPr>
          <w:spacing w:val="33"/>
        </w:rPr>
        <w:t xml:space="preserve"> </w:t>
      </w:r>
      <w:r>
        <w:t>lečenje</w:t>
      </w:r>
      <w:r>
        <w:rPr>
          <w:spacing w:val="28"/>
        </w:rPr>
        <w:t xml:space="preserve"> </w:t>
      </w:r>
      <w:r>
        <w:t>(n</w:t>
      </w:r>
      <w:r>
        <w:rPr>
          <w:spacing w:val="28"/>
        </w:rPr>
        <w:t xml:space="preserve"> </w:t>
      </w:r>
      <w:r>
        <w:t>=</w:t>
      </w:r>
      <w:r>
        <w:rPr>
          <w:spacing w:val="29"/>
        </w:rPr>
        <w:t xml:space="preserve"> </w:t>
      </w:r>
      <w:r>
        <w:t>27)</w:t>
      </w:r>
      <w:r>
        <w:rPr>
          <w:spacing w:val="33"/>
        </w:rPr>
        <w:t xml:space="preserve"> </w:t>
      </w:r>
      <w:r>
        <w:t>ili</w:t>
      </w:r>
      <w:r w:rsidR="008E04F0">
        <w:t xml:space="preserve"> </w:t>
      </w:r>
    </w:p>
    <w:p w14:paraId="5747F9CA" w14:textId="77777777" w:rsidR="00712CF5" w:rsidRDefault="00712CF5" w:rsidP="008124AA">
      <w:pPr>
        <w:pStyle w:val="BodyText"/>
        <w:ind w:left="0"/>
        <w:jc w:val="both"/>
        <w:sectPr w:rsidR="00712CF5">
          <w:pgSz w:w="11910" w:h="16840"/>
          <w:pgMar w:top="820" w:right="992" w:bottom="1500" w:left="992" w:header="0" w:footer="1311" w:gutter="0"/>
          <w:cols w:space="720"/>
        </w:sectPr>
      </w:pPr>
    </w:p>
    <w:p w14:paraId="5747F9CB" w14:textId="246137A8" w:rsidR="00712CF5" w:rsidRDefault="004D050A" w:rsidP="008124AA">
      <w:pPr>
        <w:pStyle w:val="BodyText"/>
        <w:spacing w:before="67" w:line="237" w:lineRule="auto"/>
        <w:ind w:left="0" w:right="139"/>
        <w:jc w:val="both"/>
      </w:pPr>
      <w:r>
        <w:lastRenderedPageBreak/>
        <w:t xml:space="preserve">12 od 16 </w:t>
      </w:r>
      <w:r w:rsidR="00787E6B">
        <w:t>samo standardno lečenje (n = 28). Većina pacijenata (75 %) je uzimala sterole vitamina D na početku ispitivanja. Srednja vrednost (SD) koncentracija iPTH-a na početku ispitivanja bila je 946 (635) piktograma</w:t>
      </w:r>
    </w:p>
    <w:p w14:paraId="5747F9CC" w14:textId="110891FA" w:rsidR="00712CF5" w:rsidRDefault="00787E6B">
      <w:pPr>
        <w:pStyle w:val="BodyText"/>
        <w:spacing w:before="1"/>
        <w:ind w:right="140"/>
        <w:jc w:val="both"/>
      </w:pPr>
      <w:r>
        <w:t>/mL u grupi koja je uzimala sinakalcet uz standardno lečenje i 1228 (732) piktograma /mL u grupi koja je uzimala samo standardno lečenje. Srednja vrednost (SD) korigovanih koncentracija ukupnog kalcijuma u serumu na početku ispitivanja bila je 9,8 (0,6) mg/dL u grupi koja je uzimala sinakalcet uz standardno</w:t>
      </w:r>
      <w:r>
        <w:rPr>
          <w:spacing w:val="40"/>
        </w:rPr>
        <w:t xml:space="preserve"> </w:t>
      </w:r>
      <w:r>
        <w:t>lečenje i 9,8 (0,6) mg/dL u grupi koja je primala samo standardnu terapiju. Dvadeset</w:t>
      </w:r>
      <w:r w:rsidR="002D2C99">
        <w:t xml:space="preserve"> </w:t>
      </w:r>
      <w:r>
        <w:t>pet (25) ispitanika je uzimalo najmanje jednu dozu sinakalceta, a srednja maksimalna dnevna doza sinakalceta bila je 0,55 mg/kg/dan. Ispitivanje nije postiglo primarnu meru ishoda (smanjenje srednje vrednosti iPTH-a u plazmi od</w:t>
      </w:r>
    </w:p>
    <w:p w14:paraId="5747F9CD" w14:textId="4C7ADD1F" w:rsidR="00712CF5" w:rsidRDefault="00787E6B">
      <w:pPr>
        <w:pStyle w:val="BodyText"/>
        <w:ind w:right="140"/>
        <w:jc w:val="both"/>
      </w:pPr>
      <w:r>
        <w:t>≥ 30 % u odnosu na početnu tokom faze ocene efikasnosti; 17. do 20. nedelja). Smanjenje srednje vrednost</w:t>
      </w:r>
      <w:r w:rsidR="006670C6">
        <w:t>i</w:t>
      </w:r>
      <w:r>
        <w:t xml:space="preserve"> iPTH-a u plazmi od ≥ 30 % u odnosu na početnu tokom faze ocene efikasnosti postignuto je kod 22 % pacijenata u grupi koja je uzimala sinakalcet uz standardno lečenje i kod 32 % pacijen</w:t>
      </w:r>
      <w:r w:rsidR="00425E0C">
        <w:t>a</w:t>
      </w:r>
      <w:r>
        <w:t>ta u grupi koja je primala samo standardno lečenje.</w:t>
      </w:r>
    </w:p>
    <w:p w14:paraId="5747F9CE" w14:textId="77777777" w:rsidR="00712CF5" w:rsidRDefault="00712CF5">
      <w:pPr>
        <w:pStyle w:val="BodyText"/>
        <w:spacing w:before="1"/>
        <w:ind w:left="0"/>
      </w:pPr>
    </w:p>
    <w:p w14:paraId="5747F9CF" w14:textId="77777777" w:rsidR="00712CF5" w:rsidRDefault="00787E6B">
      <w:pPr>
        <w:pStyle w:val="BodyText"/>
        <w:ind w:right="140"/>
        <w:jc w:val="both"/>
      </w:pPr>
      <w:r>
        <w:t>Ispitivanje 3 bilo je otvoreno ispitivanje bezbednosti na jednoj grupi u trajanju od 26 nedelja kod pacijenata starosti od 8 meseci do &lt; 6 godina</w:t>
      </w:r>
      <w:r>
        <w:rPr>
          <w:spacing w:val="-1"/>
        </w:rPr>
        <w:t xml:space="preserve"> </w:t>
      </w:r>
      <w:r>
        <w:t>(srednja vrednost godina starosti 3 godine). Pacijenti koji</w:t>
      </w:r>
      <w:r>
        <w:rPr>
          <w:spacing w:val="-1"/>
        </w:rPr>
        <w:t xml:space="preserve"> </w:t>
      </w:r>
      <w:r>
        <w:t>su istovremeno uzimali lekove za koje je poznato da produžavaju korigovani QT interval bili su isključeni iz ispitivanja. Srednja telesna masa na početku ispitivanja bila je 12 kg. Početna doza sinakalceta bila je 0,20 mg/kg.</w:t>
      </w:r>
      <w:r>
        <w:rPr>
          <w:spacing w:val="40"/>
        </w:rPr>
        <w:t xml:space="preserve"> </w:t>
      </w:r>
      <w:r>
        <w:t>Većina pacijenata (89 %) uzimala je sterole vitamina D na početku ispitivanja.</w:t>
      </w:r>
    </w:p>
    <w:p w14:paraId="5747F9D0" w14:textId="77777777" w:rsidR="00712CF5" w:rsidRDefault="00787E6B">
      <w:pPr>
        <w:pStyle w:val="BodyText"/>
        <w:spacing w:before="252"/>
        <w:ind w:right="140"/>
        <w:jc w:val="both"/>
      </w:pPr>
      <w:r>
        <w:t>Sedamnaest</w:t>
      </w:r>
      <w:r>
        <w:rPr>
          <w:spacing w:val="-2"/>
        </w:rPr>
        <w:t xml:space="preserve"> </w:t>
      </w:r>
      <w:r>
        <w:t>(17) pacijenata primilo je najmanje</w:t>
      </w:r>
      <w:r>
        <w:rPr>
          <w:spacing w:val="-1"/>
        </w:rPr>
        <w:t xml:space="preserve"> </w:t>
      </w:r>
      <w:r>
        <w:t>jednu dozu sinakalceta, a 11 je završilo najmanje</w:t>
      </w:r>
      <w:r>
        <w:rPr>
          <w:spacing w:val="-1"/>
        </w:rPr>
        <w:t xml:space="preserve"> </w:t>
      </w:r>
      <w:r>
        <w:t>12 nedelja lečenja.</w:t>
      </w:r>
      <w:r>
        <w:rPr>
          <w:spacing w:val="-2"/>
        </w:rPr>
        <w:t xml:space="preserve"> </w:t>
      </w:r>
      <w:r>
        <w:t>Nijedan pacijent uzrasta od 2 do 5</w:t>
      </w:r>
      <w:r>
        <w:rPr>
          <w:spacing w:val="-1"/>
        </w:rPr>
        <w:t xml:space="preserve"> </w:t>
      </w:r>
      <w:r>
        <w:t>godina</w:t>
      </w:r>
      <w:r>
        <w:rPr>
          <w:spacing w:val="-1"/>
        </w:rPr>
        <w:t xml:space="preserve"> </w:t>
      </w:r>
      <w:r>
        <w:t>nije imao korigovanu</w:t>
      </w:r>
      <w:r>
        <w:rPr>
          <w:spacing w:val="-2"/>
        </w:rPr>
        <w:t xml:space="preserve"> </w:t>
      </w:r>
      <w:r>
        <w:t>koncentraciju</w:t>
      </w:r>
      <w:r>
        <w:rPr>
          <w:spacing w:val="-2"/>
        </w:rPr>
        <w:t xml:space="preserve"> </w:t>
      </w:r>
      <w:r>
        <w:t xml:space="preserve">kalcijuma u serumu &lt; 8,4 mg/dL (2,1 milimola/L). Početna vrednost iPTH-a smanjena je za ≥ 30 % u 71 % (12 od 17) pacijenata u </w:t>
      </w:r>
      <w:r>
        <w:rPr>
          <w:spacing w:val="-2"/>
        </w:rPr>
        <w:t>ispitivanju.</w:t>
      </w:r>
    </w:p>
    <w:p w14:paraId="5747F9D1" w14:textId="77777777" w:rsidR="00712CF5" w:rsidRDefault="00787E6B">
      <w:pPr>
        <w:pStyle w:val="BodyText"/>
        <w:spacing w:before="250"/>
        <w:jc w:val="both"/>
      </w:pPr>
      <w:r>
        <w:rPr>
          <w:u w:val="single"/>
        </w:rPr>
        <w:t>Karcinom</w:t>
      </w:r>
      <w:r>
        <w:rPr>
          <w:spacing w:val="-8"/>
          <w:u w:val="single"/>
        </w:rPr>
        <w:t xml:space="preserve"> </w:t>
      </w:r>
      <w:r>
        <w:rPr>
          <w:u w:val="single"/>
        </w:rPr>
        <w:t>paratireoidee</w:t>
      </w:r>
      <w:r>
        <w:rPr>
          <w:spacing w:val="-7"/>
          <w:u w:val="single"/>
        </w:rPr>
        <w:t xml:space="preserve"> </w:t>
      </w:r>
      <w:r>
        <w:rPr>
          <w:u w:val="single"/>
        </w:rPr>
        <w:t>i</w:t>
      </w:r>
      <w:r>
        <w:rPr>
          <w:spacing w:val="-8"/>
          <w:u w:val="single"/>
        </w:rPr>
        <w:t xml:space="preserve"> </w:t>
      </w:r>
      <w:r>
        <w:rPr>
          <w:u w:val="single"/>
        </w:rPr>
        <w:t>primarni</w:t>
      </w:r>
      <w:r>
        <w:rPr>
          <w:spacing w:val="-7"/>
          <w:u w:val="single"/>
        </w:rPr>
        <w:t xml:space="preserve"> </w:t>
      </w:r>
      <w:r>
        <w:rPr>
          <w:spacing w:val="-2"/>
          <w:u w:val="single"/>
        </w:rPr>
        <w:t>hiperparatireoidizam</w:t>
      </w:r>
    </w:p>
    <w:p w14:paraId="5747F9D2" w14:textId="77777777" w:rsidR="00712CF5" w:rsidRDefault="00712CF5">
      <w:pPr>
        <w:pStyle w:val="BodyText"/>
        <w:spacing w:before="3"/>
        <w:ind w:left="0"/>
      </w:pPr>
    </w:p>
    <w:p w14:paraId="5747F9D3" w14:textId="3D2B5A81" w:rsidR="00712CF5" w:rsidRDefault="00787E6B">
      <w:pPr>
        <w:pStyle w:val="BodyText"/>
        <w:ind w:right="140"/>
        <w:jc w:val="both"/>
      </w:pPr>
      <w:r>
        <w:t>U jednom ključnom ispitivanju učestvovalo je 46 pacijenata (29 sa karcinomom paratireoidee i 17 sa primarnim HPT (neuspela ili kontraindikovana paratireoidektomija) primalo je sinakalcet do 3 godine (u proseku 328 dana kod pacijenata sa karcinomom paratireoidee i u proseku 347 dana kod pacijenata sa primarnim HPT). Sinakalcet je primenjivan u rasponu doza od 30 mg dvaput dnevno do 90 mg četiri puta na dan. Primarna krajnja tačka ispitivanja bila je redukcija koncentracije kalcijuma u serumu od ≥1 mg/dL (≥0,25 milimola/L). Kod pacijenata sa karcinomom paratireoidee, srednja</w:t>
      </w:r>
      <w:r>
        <w:rPr>
          <w:spacing w:val="-2"/>
        </w:rPr>
        <w:t xml:space="preserve"> </w:t>
      </w:r>
      <w:r>
        <w:t xml:space="preserve">koncentracija kalcijuma u serumu opala je sa 14,1 mg/dL na 12,4 mg/dL (sa 3,5 milimola/L na 3,1 milimola/L) dok kod pacijenata sa primarnim HPT, srednja koncentracija </w:t>
      </w:r>
      <w:r w:rsidR="006A6C3B">
        <w:t xml:space="preserve">kalcijuma </w:t>
      </w:r>
      <w:r>
        <w:t>serumskog</w:t>
      </w:r>
      <w:r w:rsidR="005E16BC" w:rsidRPr="005E16BC">
        <w:t xml:space="preserve"> </w:t>
      </w:r>
      <w:r>
        <w:t>opala je sa 12,7 mg/dL na 10,4 mg/dL (sa 3,2 mmoL/L na 2,6 mmoL/L). Kod 18 od 29 pacijenata (62%) sa karcinomom paratireoidee i 15 od 17</w:t>
      </w:r>
      <w:r>
        <w:rPr>
          <w:spacing w:val="40"/>
        </w:rPr>
        <w:t xml:space="preserve"> </w:t>
      </w:r>
      <w:r>
        <w:t>pacijenata (88%) sa primarnim HPT ostvarena je redukcija koncentracije kalcijuma</w:t>
      </w:r>
      <w:r>
        <w:rPr>
          <w:spacing w:val="40"/>
        </w:rPr>
        <w:t xml:space="preserve"> </w:t>
      </w:r>
      <w:r>
        <w:t>u serumu od ≥1 mg/dL (≥0,25 milimola/L).</w:t>
      </w:r>
    </w:p>
    <w:p w14:paraId="5747F9D4" w14:textId="5BD92707" w:rsidR="00712CF5" w:rsidRDefault="00787E6B">
      <w:pPr>
        <w:pStyle w:val="BodyText"/>
        <w:spacing w:before="251"/>
        <w:ind w:right="139"/>
        <w:jc w:val="both"/>
      </w:pPr>
      <w:r>
        <w:t>U placebo kontrolisanom ispitivanju u trajanju od 28 nedelja bilo je uključeno 67 pacijenata sa primarnim hiperparatireoidizmom koji su ispunjavali uslove za paratireoidektomiju na osnovu korigovanog ukupnog kalcijuma u</w:t>
      </w:r>
      <w:r>
        <w:rPr>
          <w:spacing w:val="-3"/>
        </w:rPr>
        <w:t xml:space="preserve"> </w:t>
      </w:r>
      <w:r>
        <w:t>serumu</w:t>
      </w:r>
      <w:r>
        <w:rPr>
          <w:spacing w:val="-3"/>
        </w:rPr>
        <w:t xml:space="preserve"> </w:t>
      </w:r>
      <w:r>
        <w:t>(&gt;</w:t>
      </w:r>
      <w:r>
        <w:rPr>
          <w:spacing w:val="-3"/>
        </w:rPr>
        <w:t xml:space="preserve"> </w:t>
      </w:r>
      <w:r>
        <w:t>11,3</w:t>
      </w:r>
      <w:r>
        <w:rPr>
          <w:spacing w:val="-3"/>
        </w:rPr>
        <w:t xml:space="preserve"> </w:t>
      </w:r>
      <w:r>
        <w:t>mg/dL (2,82 milimol/L)</w:t>
      </w:r>
      <w:r>
        <w:rPr>
          <w:spacing w:val="-1"/>
        </w:rPr>
        <w:t xml:space="preserve"> </w:t>
      </w:r>
      <w:r>
        <w:t>i ≤</w:t>
      </w:r>
      <w:r>
        <w:rPr>
          <w:spacing w:val="-3"/>
        </w:rPr>
        <w:t xml:space="preserve"> </w:t>
      </w:r>
      <w:r>
        <w:t>12</w:t>
      </w:r>
      <w:r>
        <w:rPr>
          <w:spacing w:val="-3"/>
        </w:rPr>
        <w:t xml:space="preserve"> </w:t>
      </w:r>
      <w:r>
        <w:t>,5</w:t>
      </w:r>
      <w:r>
        <w:rPr>
          <w:spacing w:val="-3"/>
        </w:rPr>
        <w:t xml:space="preserve"> </w:t>
      </w:r>
      <w:r>
        <w:t>mg/dL (3,12 milimol/L),</w:t>
      </w:r>
      <w:r>
        <w:rPr>
          <w:spacing w:val="-2"/>
        </w:rPr>
        <w:t xml:space="preserve"> </w:t>
      </w:r>
      <w:r>
        <w:t>ali</w:t>
      </w:r>
      <w:r>
        <w:rPr>
          <w:spacing w:val="-2"/>
        </w:rPr>
        <w:t xml:space="preserve"> </w:t>
      </w:r>
      <w:r>
        <w:t>koji</w:t>
      </w:r>
      <w:r>
        <w:rPr>
          <w:spacing w:val="-2"/>
        </w:rPr>
        <w:t xml:space="preserve"> </w:t>
      </w:r>
      <w:r>
        <w:t>nisu</w:t>
      </w:r>
      <w:r>
        <w:rPr>
          <w:spacing w:val="-2"/>
        </w:rPr>
        <w:t xml:space="preserve"> </w:t>
      </w:r>
      <w:r>
        <w:t>mogli</w:t>
      </w:r>
      <w:r>
        <w:rPr>
          <w:spacing w:val="-2"/>
        </w:rPr>
        <w:t xml:space="preserve"> </w:t>
      </w:r>
      <w:r>
        <w:t>biti podvrgnuti paratireoidektomiji. Sinakalcet je uveden u dozi od 30 mg dva puta dnevno i titriran tako da održava korigovanu</w:t>
      </w:r>
      <w:r>
        <w:rPr>
          <w:spacing w:val="40"/>
        </w:rPr>
        <w:t xml:space="preserve"> </w:t>
      </w:r>
      <w:r>
        <w:t>ukupnu koncentraciju kalcijum</w:t>
      </w:r>
      <w:r w:rsidR="00932789">
        <w:t>a</w:t>
      </w:r>
      <w:r>
        <w:t xml:space="preserve"> u serumu unutar normalnih vrednosti.</w:t>
      </w:r>
    </w:p>
    <w:p w14:paraId="5747F9D5" w14:textId="77777777" w:rsidR="00712CF5" w:rsidRDefault="00787E6B">
      <w:pPr>
        <w:pStyle w:val="BodyText"/>
        <w:spacing w:before="2"/>
        <w:ind w:right="139"/>
        <w:jc w:val="both"/>
      </w:pPr>
      <w:r>
        <w:t>Značajno</w:t>
      </w:r>
      <w:r>
        <w:rPr>
          <w:spacing w:val="-3"/>
        </w:rPr>
        <w:t xml:space="preserve"> </w:t>
      </w:r>
      <w:r>
        <w:t>veći</w:t>
      </w:r>
      <w:r>
        <w:rPr>
          <w:spacing w:val="-3"/>
        </w:rPr>
        <w:t xml:space="preserve"> </w:t>
      </w:r>
      <w:r>
        <w:t>procenat</w:t>
      </w:r>
      <w:r>
        <w:rPr>
          <w:spacing w:val="-1"/>
        </w:rPr>
        <w:t xml:space="preserve"> </w:t>
      </w:r>
      <w:r>
        <w:t>pacijenata lečenih</w:t>
      </w:r>
      <w:r>
        <w:rPr>
          <w:spacing w:val="-1"/>
        </w:rPr>
        <w:t xml:space="preserve"> </w:t>
      </w:r>
      <w:r>
        <w:t>sinakalcetom</w:t>
      </w:r>
      <w:r>
        <w:rPr>
          <w:spacing w:val="-3"/>
        </w:rPr>
        <w:t xml:space="preserve"> </w:t>
      </w:r>
      <w:r>
        <w:t>je</w:t>
      </w:r>
      <w:r>
        <w:rPr>
          <w:spacing w:val="-3"/>
        </w:rPr>
        <w:t xml:space="preserve"> </w:t>
      </w:r>
      <w:r>
        <w:t>dosegao</w:t>
      </w:r>
      <w:r>
        <w:rPr>
          <w:spacing w:val="-5"/>
        </w:rPr>
        <w:t xml:space="preserve"> </w:t>
      </w:r>
      <w:r>
        <w:t>srednju</w:t>
      </w:r>
      <w:r>
        <w:rPr>
          <w:spacing w:val="-2"/>
        </w:rPr>
        <w:t xml:space="preserve"> </w:t>
      </w:r>
      <w:r>
        <w:t>korigovanu</w:t>
      </w:r>
      <w:r>
        <w:rPr>
          <w:spacing w:val="-2"/>
        </w:rPr>
        <w:t xml:space="preserve"> </w:t>
      </w:r>
      <w:r>
        <w:t>ukupnu</w:t>
      </w:r>
      <w:r>
        <w:rPr>
          <w:spacing w:val="-2"/>
        </w:rPr>
        <w:t xml:space="preserve"> </w:t>
      </w:r>
      <w:r>
        <w:t>koncentraciju kalcijuma u serumu ≤ 10,3 mg/dL (2,57 milimola/L) i smanjenje srednje korigovane ukupne koncentracije kalcijuma u serumu ≥ 1 mg/dL (0,25 milimola/L) od početne vrednosti, u poređenju sa pacijentima koji su primali placebo (75, 8% prema 0 % odnosno 84,8 % prema 5,9 %).</w:t>
      </w:r>
    </w:p>
    <w:p w14:paraId="5747F9D6" w14:textId="77777777" w:rsidR="00712CF5" w:rsidRDefault="00712CF5">
      <w:pPr>
        <w:pStyle w:val="BodyText"/>
        <w:spacing w:before="3"/>
        <w:ind w:left="0"/>
      </w:pPr>
    </w:p>
    <w:p w14:paraId="5747F9D7" w14:textId="77777777" w:rsidR="00712CF5" w:rsidRDefault="00787E6B">
      <w:pPr>
        <w:pStyle w:val="Heading2"/>
        <w:numPr>
          <w:ilvl w:val="1"/>
          <w:numId w:val="3"/>
        </w:numPr>
        <w:tabs>
          <w:tab w:val="left" w:pos="522"/>
        </w:tabs>
        <w:ind w:left="522" w:hanging="382"/>
      </w:pPr>
      <w:r>
        <w:rPr>
          <w:spacing w:val="-2"/>
        </w:rPr>
        <w:t>Farmakokinetički</w:t>
      </w:r>
      <w:r>
        <w:rPr>
          <w:spacing w:val="16"/>
        </w:rPr>
        <w:t xml:space="preserve"> </w:t>
      </w:r>
      <w:r>
        <w:rPr>
          <w:spacing w:val="-2"/>
        </w:rPr>
        <w:t>podaci</w:t>
      </w:r>
    </w:p>
    <w:p w14:paraId="5747F9D8" w14:textId="77777777" w:rsidR="00712CF5" w:rsidRDefault="00787E6B">
      <w:pPr>
        <w:pStyle w:val="BodyText"/>
        <w:spacing w:before="251" w:line="251" w:lineRule="exact"/>
      </w:pPr>
      <w:r>
        <w:rPr>
          <w:spacing w:val="-2"/>
          <w:u w:val="single"/>
        </w:rPr>
        <w:t>Resorpcija</w:t>
      </w:r>
    </w:p>
    <w:p w14:paraId="5747F9D9" w14:textId="77777777" w:rsidR="00712CF5" w:rsidRDefault="00787E6B">
      <w:pPr>
        <w:pStyle w:val="BodyText"/>
      </w:pPr>
      <w:r>
        <w:t xml:space="preserve">Nakon oralne upotrebe leka Cineset, maksimalna koncentracija sinakalceta u plazmi postiže se za oko 2 do 6 </w:t>
      </w:r>
      <w:r>
        <w:rPr>
          <w:spacing w:val="-2"/>
        </w:rPr>
        <w:t>sati.</w:t>
      </w:r>
    </w:p>
    <w:p w14:paraId="5747F9DA" w14:textId="77777777" w:rsidR="00712CF5" w:rsidRDefault="00712CF5">
      <w:pPr>
        <w:pStyle w:val="BodyText"/>
        <w:sectPr w:rsidR="00712CF5">
          <w:pgSz w:w="11910" w:h="16840"/>
          <w:pgMar w:top="820" w:right="992" w:bottom="1500" w:left="992" w:header="0" w:footer="1311" w:gutter="0"/>
          <w:cols w:space="720"/>
        </w:sectPr>
      </w:pPr>
    </w:p>
    <w:p w14:paraId="5747F9DB" w14:textId="77777777" w:rsidR="00712CF5" w:rsidRDefault="00787E6B">
      <w:pPr>
        <w:pStyle w:val="BodyText"/>
        <w:spacing w:before="65"/>
        <w:ind w:right="140"/>
        <w:jc w:val="both"/>
      </w:pPr>
      <w:r>
        <w:lastRenderedPageBreak/>
        <w:t xml:space="preserve">Na osnovu poređenja između ispitivanja, procenjeno je da je apsolutna bioraspoloživost sinakalceta u uslovima gladovanja oko 20-25%. Uzimanje leka Cineset sa hranom povećava bioraspoloživost sinakalceta za oko 50 do 80%. Povećanje koncentracije sinakalceta u plazmi slično je bez obzira na sadržaj masti u </w:t>
      </w:r>
      <w:r>
        <w:rPr>
          <w:spacing w:val="-2"/>
        </w:rPr>
        <w:t>obroku.</w:t>
      </w:r>
    </w:p>
    <w:p w14:paraId="5747F9DC" w14:textId="77777777" w:rsidR="00712CF5" w:rsidRDefault="00787E6B">
      <w:pPr>
        <w:pStyle w:val="BodyText"/>
        <w:spacing w:before="52" w:line="504" w:lineRule="exact"/>
        <w:ind w:right="1639"/>
        <w:jc w:val="both"/>
      </w:pPr>
      <w:r>
        <w:t>Kod</w:t>
      </w:r>
      <w:r>
        <w:rPr>
          <w:spacing w:val="-3"/>
        </w:rPr>
        <w:t xml:space="preserve"> </w:t>
      </w:r>
      <w:r>
        <w:t>doza</w:t>
      </w:r>
      <w:r>
        <w:rPr>
          <w:spacing w:val="-3"/>
        </w:rPr>
        <w:t xml:space="preserve"> </w:t>
      </w:r>
      <w:r>
        <w:t>većih</w:t>
      </w:r>
      <w:r>
        <w:rPr>
          <w:spacing w:val="-3"/>
        </w:rPr>
        <w:t xml:space="preserve"> </w:t>
      </w:r>
      <w:r>
        <w:t>od</w:t>
      </w:r>
      <w:r>
        <w:rPr>
          <w:spacing w:val="-3"/>
        </w:rPr>
        <w:t xml:space="preserve"> </w:t>
      </w:r>
      <w:r>
        <w:t>200</w:t>
      </w:r>
      <w:r>
        <w:rPr>
          <w:spacing w:val="-3"/>
        </w:rPr>
        <w:t xml:space="preserve"> </w:t>
      </w:r>
      <w:r>
        <w:t>mg,</w:t>
      </w:r>
      <w:r>
        <w:rPr>
          <w:spacing w:val="-3"/>
        </w:rPr>
        <w:t xml:space="preserve"> </w:t>
      </w:r>
      <w:r>
        <w:t>resorpcija</w:t>
      </w:r>
      <w:r>
        <w:rPr>
          <w:spacing w:val="-3"/>
        </w:rPr>
        <w:t xml:space="preserve"> </w:t>
      </w:r>
      <w:r>
        <w:t>je</w:t>
      </w:r>
      <w:r>
        <w:rPr>
          <w:spacing w:val="-3"/>
        </w:rPr>
        <w:t xml:space="preserve"> </w:t>
      </w:r>
      <w:r>
        <w:t>bila</w:t>
      </w:r>
      <w:r>
        <w:rPr>
          <w:spacing w:val="-3"/>
        </w:rPr>
        <w:t xml:space="preserve"> </w:t>
      </w:r>
      <w:r>
        <w:t>saturisana</w:t>
      </w:r>
      <w:r>
        <w:rPr>
          <w:spacing w:val="-3"/>
        </w:rPr>
        <w:t xml:space="preserve"> </w:t>
      </w:r>
      <w:r>
        <w:t>verovatno</w:t>
      </w:r>
      <w:r>
        <w:rPr>
          <w:spacing w:val="-3"/>
        </w:rPr>
        <w:t xml:space="preserve"> </w:t>
      </w:r>
      <w:r>
        <w:t>zbog</w:t>
      </w:r>
      <w:r>
        <w:rPr>
          <w:spacing w:val="-3"/>
        </w:rPr>
        <w:t xml:space="preserve"> </w:t>
      </w:r>
      <w:r>
        <w:t>slabe</w:t>
      </w:r>
      <w:r>
        <w:rPr>
          <w:spacing w:val="-3"/>
        </w:rPr>
        <w:t xml:space="preserve"> </w:t>
      </w:r>
      <w:r>
        <w:t xml:space="preserve">rastvorljivosti. </w:t>
      </w:r>
      <w:r>
        <w:rPr>
          <w:spacing w:val="-2"/>
          <w:u w:val="single"/>
        </w:rPr>
        <w:t>Distribucija</w:t>
      </w:r>
    </w:p>
    <w:p w14:paraId="5747F9DD" w14:textId="77777777" w:rsidR="00712CF5" w:rsidRDefault="00787E6B">
      <w:pPr>
        <w:pStyle w:val="BodyText"/>
        <w:spacing w:line="201" w:lineRule="exact"/>
        <w:jc w:val="both"/>
      </w:pPr>
      <w:r>
        <w:t xml:space="preserve">Volumen distribucije je veliki (oko 1000 litara), što ukazuje na ekstenzivnu distribuciju. Sinakalcet se </w:t>
      </w:r>
      <w:r>
        <w:rPr>
          <w:spacing w:val="-2"/>
        </w:rPr>
        <w:t>vezuje</w:t>
      </w:r>
    </w:p>
    <w:p w14:paraId="5747F9DE" w14:textId="77777777" w:rsidR="00712CF5" w:rsidRDefault="00787E6B">
      <w:pPr>
        <w:pStyle w:val="BodyText"/>
        <w:spacing w:before="2"/>
      </w:pPr>
      <w:r>
        <w:t>otprilike</w:t>
      </w:r>
      <w:r>
        <w:rPr>
          <w:spacing w:val="-6"/>
        </w:rPr>
        <w:t xml:space="preserve"> </w:t>
      </w:r>
      <w:r>
        <w:t>97%</w:t>
      </w:r>
      <w:r>
        <w:rPr>
          <w:spacing w:val="-6"/>
        </w:rPr>
        <w:t xml:space="preserve"> </w:t>
      </w:r>
      <w:r>
        <w:t>za</w:t>
      </w:r>
      <w:r>
        <w:rPr>
          <w:spacing w:val="-3"/>
        </w:rPr>
        <w:t xml:space="preserve"> </w:t>
      </w:r>
      <w:r>
        <w:t>proteine</w:t>
      </w:r>
      <w:r>
        <w:rPr>
          <w:spacing w:val="-6"/>
        </w:rPr>
        <w:t xml:space="preserve"> </w:t>
      </w:r>
      <w:r>
        <w:t>plazme</w:t>
      </w:r>
      <w:r>
        <w:rPr>
          <w:spacing w:val="-5"/>
        </w:rPr>
        <w:t xml:space="preserve"> </w:t>
      </w:r>
      <w:r>
        <w:t>i</w:t>
      </w:r>
      <w:r>
        <w:rPr>
          <w:spacing w:val="-6"/>
        </w:rPr>
        <w:t xml:space="preserve"> </w:t>
      </w:r>
      <w:r>
        <w:t>minimalno</w:t>
      </w:r>
      <w:r>
        <w:rPr>
          <w:spacing w:val="-5"/>
        </w:rPr>
        <w:t xml:space="preserve"> </w:t>
      </w:r>
      <w:r>
        <w:t>distribuira</w:t>
      </w:r>
      <w:r>
        <w:rPr>
          <w:spacing w:val="-6"/>
        </w:rPr>
        <w:t xml:space="preserve"> </w:t>
      </w:r>
      <w:r>
        <w:t>u</w:t>
      </w:r>
      <w:r>
        <w:rPr>
          <w:spacing w:val="-5"/>
        </w:rPr>
        <w:t xml:space="preserve"> </w:t>
      </w:r>
      <w:r>
        <w:t>crvena</w:t>
      </w:r>
      <w:r>
        <w:rPr>
          <w:spacing w:val="-6"/>
        </w:rPr>
        <w:t xml:space="preserve"> </w:t>
      </w:r>
      <w:r>
        <w:t>krvna</w:t>
      </w:r>
      <w:r>
        <w:rPr>
          <w:spacing w:val="-5"/>
        </w:rPr>
        <w:t xml:space="preserve"> </w:t>
      </w:r>
      <w:r>
        <w:rPr>
          <w:spacing w:val="-2"/>
        </w:rPr>
        <w:t>zrnca.</w:t>
      </w:r>
    </w:p>
    <w:p w14:paraId="5747F9DF" w14:textId="433BDA2F" w:rsidR="00712CF5" w:rsidRDefault="00787E6B">
      <w:pPr>
        <w:pStyle w:val="BodyText"/>
        <w:spacing w:before="251"/>
        <w:ind w:right="140"/>
        <w:jc w:val="both"/>
      </w:pPr>
      <w:r>
        <w:t>Nakon resorpcije, koncentracije sinakalceta opadaju bifazno, sa inicijalnim poluvremenom eliminacije od</w:t>
      </w:r>
      <w:r>
        <w:rPr>
          <w:spacing w:val="40"/>
        </w:rPr>
        <w:t xml:space="preserve"> </w:t>
      </w:r>
      <w:r>
        <w:t>oko 6 sati i krajnjim poluvremenom eliminacije od 30 do 40 sati. Koncentracija sinakalceta u stanju dinamičke ravnoteže postižu se u roku od 7 dana, uz minimalnu akumulaciju leka. Farmakokinetika sinakalceta se ne menja vremenom.</w:t>
      </w:r>
    </w:p>
    <w:p w14:paraId="5747F9E0" w14:textId="77777777" w:rsidR="00712CF5" w:rsidRDefault="00712CF5">
      <w:pPr>
        <w:pStyle w:val="BodyText"/>
        <w:spacing w:before="2"/>
        <w:ind w:left="0"/>
      </w:pPr>
    </w:p>
    <w:p w14:paraId="5747F9E1" w14:textId="77777777" w:rsidR="00712CF5" w:rsidRDefault="00787E6B">
      <w:pPr>
        <w:pStyle w:val="BodyText"/>
      </w:pPr>
      <w:r>
        <w:rPr>
          <w:spacing w:val="-2"/>
          <w:u w:val="single"/>
        </w:rPr>
        <w:t>Biotransformacija</w:t>
      </w:r>
    </w:p>
    <w:p w14:paraId="5747F9E2" w14:textId="77777777" w:rsidR="00712CF5" w:rsidRDefault="00787E6B">
      <w:pPr>
        <w:pStyle w:val="BodyText"/>
        <w:spacing w:before="4" w:line="237" w:lineRule="auto"/>
      </w:pPr>
      <w:r>
        <w:t>Sinakalcet</w:t>
      </w:r>
      <w:r>
        <w:rPr>
          <w:spacing w:val="80"/>
        </w:rPr>
        <w:t xml:space="preserve"> </w:t>
      </w:r>
      <w:r>
        <w:t>metaboliše</w:t>
      </w:r>
      <w:r>
        <w:rPr>
          <w:spacing w:val="80"/>
        </w:rPr>
        <w:t xml:space="preserve"> </w:t>
      </w:r>
      <w:r>
        <w:t>više</w:t>
      </w:r>
      <w:r>
        <w:rPr>
          <w:spacing w:val="80"/>
        </w:rPr>
        <w:t xml:space="preserve"> </w:t>
      </w:r>
      <w:r>
        <w:t>enzima,</w:t>
      </w:r>
      <w:r>
        <w:rPr>
          <w:spacing w:val="78"/>
        </w:rPr>
        <w:t xml:space="preserve"> </w:t>
      </w:r>
      <w:r>
        <w:t>uglavnom</w:t>
      </w:r>
      <w:r>
        <w:rPr>
          <w:spacing w:val="77"/>
        </w:rPr>
        <w:t xml:space="preserve"> </w:t>
      </w:r>
      <w:r>
        <w:t>CYP3A4</w:t>
      </w:r>
      <w:r>
        <w:rPr>
          <w:spacing w:val="78"/>
        </w:rPr>
        <w:t xml:space="preserve"> </w:t>
      </w:r>
      <w:r>
        <w:t>i</w:t>
      </w:r>
      <w:r>
        <w:rPr>
          <w:spacing w:val="76"/>
        </w:rPr>
        <w:t xml:space="preserve"> </w:t>
      </w:r>
      <w:r>
        <w:t>CYP1A2</w:t>
      </w:r>
      <w:r>
        <w:rPr>
          <w:spacing w:val="78"/>
        </w:rPr>
        <w:t xml:space="preserve"> </w:t>
      </w:r>
      <w:r>
        <w:t>(doprinos</w:t>
      </w:r>
      <w:r>
        <w:rPr>
          <w:spacing w:val="79"/>
        </w:rPr>
        <w:t xml:space="preserve"> </w:t>
      </w:r>
      <w:r>
        <w:t>CYP1A2</w:t>
      </w:r>
      <w:r>
        <w:rPr>
          <w:spacing w:val="78"/>
        </w:rPr>
        <w:t xml:space="preserve"> </w:t>
      </w:r>
      <w:r>
        <w:t>nije</w:t>
      </w:r>
      <w:r>
        <w:rPr>
          <w:spacing w:val="80"/>
        </w:rPr>
        <w:t xml:space="preserve"> </w:t>
      </w:r>
      <w:r>
        <w:t>klinički okarakterisan). Najveći broj metabolita u cirkulaciji su neaktivni.</w:t>
      </w:r>
    </w:p>
    <w:p w14:paraId="5747F9E3" w14:textId="77777777" w:rsidR="00712CF5" w:rsidRDefault="00712CF5">
      <w:pPr>
        <w:pStyle w:val="BodyText"/>
        <w:spacing w:before="2"/>
        <w:ind w:left="0"/>
      </w:pPr>
    </w:p>
    <w:p w14:paraId="5747F9E4" w14:textId="77777777" w:rsidR="00712CF5" w:rsidRDefault="00787E6B">
      <w:pPr>
        <w:pStyle w:val="BodyText"/>
        <w:ind w:right="140"/>
        <w:jc w:val="both"/>
      </w:pPr>
      <w:r>
        <w:t xml:space="preserve">Na osnovu podataka dobijenih iz </w:t>
      </w:r>
      <w:r>
        <w:rPr>
          <w:i/>
        </w:rPr>
        <w:t xml:space="preserve">in vitro </w:t>
      </w:r>
      <w:r>
        <w:t>studija, sinakalcet je snažan inhibitor CYP2D6, s tim što pri koncentracijama koje se klinički dostižu ne inhibiše ostale CYP enzime, uključujući CYP1A2, CYP2C8, CYP2C9, CYP2C19 i CYP3A4, niti indukuje CYP1A2, CYP2C19 i CYP3A4.</w:t>
      </w:r>
    </w:p>
    <w:p w14:paraId="5747F9E5" w14:textId="77777777" w:rsidR="00712CF5" w:rsidRDefault="00787E6B">
      <w:pPr>
        <w:pStyle w:val="BodyText"/>
        <w:spacing w:before="249"/>
      </w:pPr>
      <w:r>
        <w:rPr>
          <w:spacing w:val="-2"/>
          <w:u w:val="single"/>
        </w:rPr>
        <w:t>Eliminacija</w:t>
      </w:r>
    </w:p>
    <w:p w14:paraId="5747F9E6" w14:textId="77777777" w:rsidR="00712CF5" w:rsidRDefault="00787E6B">
      <w:pPr>
        <w:pStyle w:val="BodyText"/>
        <w:spacing w:before="2"/>
        <w:ind w:right="139"/>
        <w:jc w:val="both"/>
      </w:pPr>
      <w:r>
        <w:t>Nakon</w:t>
      </w:r>
      <w:r>
        <w:rPr>
          <w:spacing w:val="-2"/>
        </w:rPr>
        <w:t xml:space="preserve"> </w:t>
      </w:r>
      <w:r>
        <w:t>primene radioizotopom obeležene doze od 75 mg</w:t>
      </w:r>
      <w:r>
        <w:rPr>
          <w:spacing w:val="-1"/>
        </w:rPr>
        <w:t xml:space="preserve"> </w:t>
      </w:r>
      <w:r>
        <w:t>zdravim ispitanicima, sinakalcet se brzo i u velikoj meri metabolisao oksidacijom, posle koje je usledila konjugacija. Izlučivanje metabolita putem bubrega bilo je dominantni put eliminacije radioaktivnosti. Približno 80% unete doze se izluči urinom, a 15% fecesom.</w:t>
      </w:r>
    </w:p>
    <w:p w14:paraId="5747F9E7" w14:textId="77777777" w:rsidR="00712CF5" w:rsidRDefault="00712CF5">
      <w:pPr>
        <w:pStyle w:val="BodyText"/>
        <w:ind w:left="0"/>
      </w:pPr>
    </w:p>
    <w:p w14:paraId="5747F9E8" w14:textId="77777777" w:rsidR="00712CF5" w:rsidRDefault="00787E6B">
      <w:pPr>
        <w:pStyle w:val="BodyText"/>
      </w:pPr>
      <w:r>
        <w:rPr>
          <w:spacing w:val="-2"/>
          <w:u w:val="single"/>
        </w:rPr>
        <w:t>Linearnost/Nelinearnost</w:t>
      </w:r>
    </w:p>
    <w:p w14:paraId="5747F9E9" w14:textId="77777777" w:rsidR="00712CF5" w:rsidRDefault="00787E6B">
      <w:pPr>
        <w:pStyle w:val="BodyText"/>
        <w:spacing w:before="4" w:line="237" w:lineRule="auto"/>
      </w:pPr>
      <w:r>
        <w:t>Vrednosti PIK i C</w:t>
      </w:r>
      <w:r>
        <w:rPr>
          <w:vertAlign w:val="subscript"/>
        </w:rPr>
        <w:t>max</w:t>
      </w:r>
      <w:r>
        <w:t xml:space="preserve"> sinakalceta rastu otprilike linearno u okviru</w:t>
      </w:r>
      <w:r>
        <w:rPr>
          <w:spacing w:val="-1"/>
        </w:rPr>
        <w:t xml:space="preserve"> </w:t>
      </w:r>
      <w:r>
        <w:t xml:space="preserve">primenjene doze od 30 do 180 mg jednom </w:t>
      </w:r>
      <w:r>
        <w:rPr>
          <w:spacing w:val="-2"/>
        </w:rPr>
        <w:t>dnevno.</w:t>
      </w:r>
    </w:p>
    <w:p w14:paraId="5747F9EA" w14:textId="77777777" w:rsidR="00712CF5" w:rsidRDefault="00712CF5">
      <w:pPr>
        <w:pStyle w:val="BodyText"/>
        <w:spacing w:before="2"/>
        <w:ind w:left="0"/>
      </w:pPr>
    </w:p>
    <w:p w14:paraId="5747F9EB" w14:textId="77777777" w:rsidR="00712CF5" w:rsidRDefault="00787E6B">
      <w:pPr>
        <w:pStyle w:val="BodyText"/>
        <w:spacing w:line="251" w:lineRule="exact"/>
        <w:jc w:val="both"/>
      </w:pPr>
      <w:r>
        <w:rPr>
          <w:u w:val="single"/>
        </w:rPr>
        <w:t>Odnos</w:t>
      </w:r>
      <w:r>
        <w:rPr>
          <w:spacing w:val="-5"/>
          <w:u w:val="single"/>
        </w:rPr>
        <w:t xml:space="preserve"> </w:t>
      </w:r>
      <w:r>
        <w:rPr>
          <w:spacing w:val="-2"/>
          <w:u w:val="single"/>
        </w:rPr>
        <w:t>farmakokinetika/farmakodinamika</w:t>
      </w:r>
    </w:p>
    <w:p w14:paraId="5747F9EC" w14:textId="77777777" w:rsidR="00712CF5" w:rsidRDefault="00787E6B">
      <w:pPr>
        <w:pStyle w:val="BodyText"/>
        <w:ind w:right="138"/>
        <w:jc w:val="both"/>
      </w:pPr>
      <w:r>
        <w:t>Ubrzo nakon</w:t>
      </w:r>
      <w:r>
        <w:rPr>
          <w:spacing w:val="-2"/>
        </w:rPr>
        <w:t xml:space="preserve"> </w:t>
      </w:r>
      <w:r>
        <w:t>primene leka vrednost PTH počinje da opada do najmanjih vrednosti koje se dostižu za 2 do 6 sati, u skladu sa vrednostima C</w:t>
      </w:r>
      <w:r>
        <w:rPr>
          <w:vertAlign w:val="subscript"/>
        </w:rPr>
        <w:t>max</w:t>
      </w:r>
      <w:r>
        <w:t xml:space="preserve"> sinakalceta. Nakon toga, kako koncentracija sinakalceta opada, koncentracija PTH raste do 12 sati posle doziranja i zatim supresija PTH nivoa ostaje otprilike konstantna do kraja jednodnevnog doznog intervala. Koncentracije PTH u okviru kliničkih studija sa lekom Cineset su merene na kraju doznog intervala.</w:t>
      </w:r>
    </w:p>
    <w:p w14:paraId="5747F9ED" w14:textId="77777777" w:rsidR="00712CF5" w:rsidRDefault="00712CF5">
      <w:pPr>
        <w:pStyle w:val="BodyText"/>
        <w:spacing w:before="4"/>
        <w:ind w:left="0"/>
      </w:pPr>
    </w:p>
    <w:p w14:paraId="5747F9EE" w14:textId="6A2E1650" w:rsidR="00712CF5" w:rsidRDefault="00787E6B">
      <w:pPr>
        <w:pStyle w:val="BodyText"/>
        <w:spacing w:line="237" w:lineRule="auto"/>
        <w:ind w:right="140"/>
        <w:jc w:val="both"/>
      </w:pPr>
      <w:r>
        <w:rPr>
          <w:i/>
        </w:rPr>
        <w:t xml:space="preserve">Stariji pacijenti: </w:t>
      </w:r>
      <w:r>
        <w:t xml:space="preserve">Nema klinički značajnih razlika u farmakokinetici sinakalceta uslovljenih starošću </w:t>
      </w:r>
      <w:r>
        <w:rPr>
          <w:spacing w:val="-2"/>
        </w:rPr>
        <w:t>pacijenata.</w:t>
      </w:r>
    </w:p>
    <w:p w14:paraId="5747F9EF" w14:textId="77777777" w:rsidR="00712CF5" w:rsidRDefault="00712CF5">
      <w:pPr>
        <w:pStyle w:val="BodyText"/>
        <w:spacing w:before="3"/>
        <w:ind w:left="0"/>
      </w:pPr>
    </w:p>
    <w:p w14:paraId="5747F9F0" w14:textId="77777777" w:rsidR="00712CF5" w:rsidRDefault="00787E6B">
      <w:pPr>
        <w:pStyle w:val="BodyText"/>
        <w:ind w:right="140"/>
        <w:jc w:val="both"/>
      </w:pPr>
      <w:r>
        <w:rPr>
          <w:i/>
        </w:rPr>
        <w:t xml:space="preserve">Pacijenti sa oštećenom funkcijom bubrega: </w:t>
      </w:r>
      <w:r>
        <w:t>farmakokinetički profil sinakalceta kod pacijenata sa blagim, umerenim i teškim oštećenjem funkcije bubrega, kao i kod pacijenata na hemodijalizi ili peritonealnoj dijalizi, sličan je profilu kod zdravih ispitanika.</w:t>
      </w:r>
    </w:p>
    <w:p w14:paraId="5747F9F1" w14:textId="77777777" w:rsidR="00712CF5" w:rsidRDefault="00712CF5">
      <w:pPr>
        <w:pStyle w:val="BodyText"/>
        <w:spacing w:before="1"/>
        <w:ind w:left="0"/>
      </w:pPr>
    </w:p>
    <w:p w14:paraId="5747F9F2" w14:textId="77777777" w:rsidR="00712CF5" w:rsidRDefault="00787E6B">
      <w:pPr>
        <w:pStyle w:val="BodyText"/>
        <w:ind w:right="139"/>
        <w:jc w:val="both"/>
      </w:pPr>
      <w:r>
        <w:rPr>
          <w:i/>
        </w:rPr>
        <w:t xml:space="preserve">Pacijenti sa oštećenom funkcijom jetre: </w:t>
      </w:r>
      <w:r>
        <w:t>Blago oštećenje funkcije jetre nije značajno uticalo na farmakokinetiku sinakalceta u poređenju sa osobama sa normalnom funkcijom jetre, vrednost PIK</w:t>
      </w:r>
      <w:r>
        <w:rPr>
          <w:spacing w:val="40"/>
        </w:rPr>
        <w:t xml:space="preserve"> </w:t>
      </w:r>
      <w:r>
        <w:t>sinakalceta</w:t>
      </w:r>
      <w:r>
        <w:rPr>
          <w:spacing w:val="-2"/>
        </w:rPr>
        <w:t xml:space="preserve"> </w:t>
      </w:r>
      <w:r>
        <w:t>bila</w:t>
      </w:r>
      <w:r>
        <w:rPr>
          <w:spacing w:val="-2"/>
        </w:rPr>
        <w:t xml:space="preserve"> </w:t>
      </w:r>
      <w:r>
        <w:t>je</w:t>
      </w:r>
      <w:r>
        <w:rPr>
          <w:spacing w:val="-2"/>
        </w:rPr>
        <w:t xml:space="preserve"> </w:t>
      </w:r>
      <w:r>
        <w:t>približno</w:t>
      </w:r>
      <w:r>
        <w:rPr>
          <w:spacing w:val="-2"/>
        </w:rPr>
        <w:t xml:space="preserve"> </w:t>
      </w:r>
      <w:r>
        <w:t>dvostruko</w:t>
      </w:r>
      <w:r>
        <w:rPr>
          <w:spacing w:val="-2"/>
        </w:rPr>
        <w:t xml:space="preserve"> </w:t>
      </w:r>
      <w:r>
        <w:t>veća</w:t>
      </w:r>
      <w:r>
        <w:rPr>
          <w:spacing w:val="-2"/>
        </w:rPr>
        <w:t xml:space="preserve"> </w:t>
      </w:r>
      <w:r>
        <w:t>kod pacijenata sa</w:t>
      </w:r>
      <w:r>
        <w:rPr>
          <w:spacing w:val="-3"/>
        </w:rPr>
        <w:t xml:space="preserve"> </w:t>
      </w:r>
      <w:r>
        <w:t>umerenim oštećenjem</w:t>
      </w:r>
      <w:r>
        <w:rPr>
          <w:spacing w:val="-2"/>
        </w:rPr>
        <w:t xml:space="preserve"> </w:t>
      </w:r>
      <w:r>
        <w:t>funkcije</w:t>
      </w:r>
      <w:r>
        <w:rPr>
          <w:spacing w:val="-2"/>
        </w:rPr>
        <w:t xml:space="preserve"> </w:t>
      </w:r>
      <w:r>
        <w:t>jetre</w:t>
      </w:r>
      <w:r>
        <w:rPr>
          <w:spacing w:val="40"/>
        </w:rPr>
        <w:t xml:space="preserve"> </w:t>
      </w:r>
      <w:r>
        <w:t>i</w:t>
      </w:r>
      <w:r>
        <w:rPr>
          <w:spacing w:val="-2"/>
        </w:rPr>
        <w:t xml:space="preserve"> </w:t>
      </w:r>
      <w:r>
        <w:t>približno četvorostruko veća kod pacijenata sa teškim oštećenjem funkcije jetre. Srednje poluvreme eliminacije sinakalceta je kod pacijenata sa umerenim i teškim oštećenjem funkcije jetre produženo za 33%, odnosno 70%. Oštećenje funkcije jetre nema uticaj na vezivanje sinakalceta za proteine. Kako se doze titriraju individualno, za svakog pacijenta ponaosob, na osnovu parametara bezbednosti i efikasnosti, za pacijente sa oštećenjem funkcije jetre nisu neophodna dodatna prilagođavanja doziranja (videti odeljke 4.2 i 4.4).</w:t>
      </w:r>
    </w:p>
    <w:p w14:paraId="5747F9F3" w14:textId="77777777" w:rsidR="00712CF5" w:rsidRDefault="00712CF5">
      <w:pPr>
        <w:pStyle w:val="BodyText"/>
        <w:jc w:val="both"/>
        <w:sectPr w:rsidR="00712CF5">
          <w:pgSz w:w="11910" w:h="16840"/>
          <w:pgMar w:top="820" w:right="992" w:bottom="1500" w:left="992" w:header="0" w:footer="1311" w:gutter="0"/>
          <w:cols w:space="720"/>
        </w:sectPr>
      </w:pPr>
    </w:p>
    <w:p w14:paraId="5747F9F4" w14:textId="77777777" w:rsidR="00712CF5" w:rsidRDefault="00787E6B">
      <w:pPr>
        <w:pStyle w:val="BodyText"/>
        <w:spacing w:before="74"/>
        <w:ind w:right="140"/>
        <w:jc w:val="both"/>
      </w:pPr>
      <w:r>
        <w:rPr>
          <w:i/>
        </w:rPr>
        <w:lastRenderedPageBreak/>
        <w:t xml:space="preserve">Pol: </w:t>
      </w:r>
      <w:r>
        <w:t>Kod žena klirens sinakalceta može biti manji nego kod muškaraca. Pošto se doze titriraju za svakog pacijenta, dodatna prilagođavanja doze uslovljena polom nisu neophodna.</w:t>
      </w:r>
    </w:p>
    <w:p w14:paraId="5747F9F5" w14:textId="77777777" w:rsidR="00712CF5" w:rsidRDefault="00712CF5">
      <w:pPr>
        <w:pStyle w:val="BodyText"/>
        <w:ind w:left="0"/>
      </w:pPr>
    </w:p>
    <w:p w14:paraId="5747F9F6" w14:textId="77777777" w:rsidR="00712CF5" w:rsidRDefault="00787E6B">
      <w:pPr>
        <w:pStyle w:val="BodyText"/>
        <w:ind w:right="140"/>
        <w:jc w:val="both"/>
      </w:pPr>
      <w:r>
        <w:rPr>
          <w:i/>
        </w:rPr>
        <w:t xml:space="preserve">Pedijatrijska populacija: </w:t>
      </w:r>
      <w:r>
        <w:t>Farmakokinetika sinakalceta ispitana je kod pedijatrijskih pacijenata sa</w:t>
      </w:r>
      <w:r>
        <w:rPr>
          <w:spacing w:val="40"/>
        </w:rPr>
        <w:t xml:space="preserve"> </w:t>
      </w:r>
      <w:r>
        <w:t>terminalnim stadijumom bolesti bubrega uzrasta od 3 do 17 godina. Nakon jednokratne i višekratnih doza sinakalceta uzetih oralnim putem, koncentracije sinakalceta u plazmi (C</w:t>
      </w:r>
      <w:r>
        <w:rPr>
          <w:vertAlign w:val="subscript"/>
        </w:rPr>
        <w:t>max</w:t>
      </w:r>
      <w:r>
        <w:t xml:space="preserve"> i PIK vrednosti nakon normalizacije prema dozi i telesnoj masi) bile su slične onima zabeleženim kod odraslih pacijenata.</w:t>
      </w:r>
    </w:p>
    <w:p w14:paraId="5747F9F7" w14:textId="77777777" w:rsidR="00712CF5" w:rsidRDefault="00712CF5">
      <w:pPr>
        <w:pStyle w:val="BodyText"/>
        <w:spacing w:before="2"/>
        <w:ind w:left="0"/>
      </w:pPr>
    </w:p>
    <w:p w14:paraId="5747F9F8" w14:textId="77777777" w:rsidR="00712CF5" w:rsidRDefault="00787E6B">
      <w:pPr>
        <w:pStyle w:val="BodyText"/>
        <w:ind w:right="140"/>
        <w:jc w:val="both"/>
      </w:pPr>
      <w:r>
        <w:t>Farmakokinetička analiza populacije je sprovedena za procenu efikasnosti demografskih karakteristika. Ova analiza je pokazala da ne postoji značajan uticaj starosti, pola, rase, telesne površine i telesne mase na farmakokinetiku sinakalceta.</w:t>
      </w:r>
    </w:p>
    <w:p w14:paraId="5747F9F9" w14:textId="77777777" w:rsidR="00712CF5" w:rsidRDefault="00712CF5">
      <w:pPr>
        <w:pStyle w:val="BodyText"/>
        <w:spacing w:before="1"/>
        <w:ind w:left="0"/>
      </w:pPr>
    </w:p>
    <w:p w14:paraId="5747F9FA" w14:textId="77777777" w:rsidR="00712CF5" w:rsidRDefault="00787E6B">
      <w:pPr>
        <w:pStyle w:val="BodyText"/>
        <w:ind w:right="139"/>
        <w:jc w:val="both"/>
      </w:pPr>
      <w:r>
        <w:rPr>
          <w:i/>
        </w:rPr>
        <w:t xml:space="preserve">Pušenje: </w:t>
      </w:r>
      <w:r>
        <w:t>Kod pušača je klirens sinakalceta veći nego kod nepušača, verovatno kao posledica CYP1A2- indukovanog metabolizma. Ako pacijent prestane ili počne da puši, može doći do promene koncentracije sinakalceta u plazmi zbog čega može biti neophodno prilagođavanje doze.</w:t>
      </w:r>
    </w:p>
    <w:p w14:paraId="5747F9FB" w14:textId="77777777" w:rsidR="00712CF5" w:rsidRDefault="00712CF5">
      <w:pPr>
        <w:pStyle w:val="BodyText"/>
        <w:spacing w:before="5"/>
        <w:ind w:left="0"/>
      </w:pPr>
    </w:p>
    <w:p w14:paraId="5747F9FC" w14:textId="77777777" w:rsidR="00712CF5" w:rsidRDefault="00787E6B">
      <w:pPr>
        <w:pStyle w:val="Heading2"/>
        <w:numPr>
          <w:ilvl w:val="1"/>
          <w:numId w:val="3"/>
        </w:numPr>
        <w:tabs>
          <w:tab w:val="left" w:pos="522"/>
        </w:tabs>
        <w:spacing w:before="1"/>
        <w:ind w:left="522" w:hanging="382"/>
      </w:pPr>
      <w:r>
        <w:t>Pretklinički</w:t>
      </w:r>
      <w:r>
        <w:rPr>
          <w:spacing w:val="-8"/>
        </w:rPr>
        <w:t xml:space="preserve"> </w:t>
      </w:r>
      <w:r>
        <w:t>podaci</w:t>
      </w:r>
      <w:r>
        <w:rPr>
          <w:spacing w:val="-7"/>
        </w:rPr>
        <w:t xml:space="preserve"> </w:t>
      </w:r>
      <w:r>
        <w:t>o</w:t>
      </w:r>
      <w:r>
        <w:rPr>
          <w:spacing w:val="-8"/>
        </w:rPr>
        <w:t xml:space="preserve"> </w:t>
      </w:r>
      <w:r>
        <w:t>bezbednosti</w:t>
      </w:r>
      <w:r>
        <w:rPr>
          <w:spacing w:val="-7"/>
        </w:rPr>
        <w:t xml:space="preserve"> </w:t>
      </w:r>
      <w:r>
        <w:rPr>
          <w:spacing w:val="-4"/>
        </w:rPr>
        <w:t>leka</w:t>
      </w:r>
    </w:p>
    <w:p w14:paraId="5747F9FD" w14:textId="77777777" w:rsidR="00712CF5" w:rsidRDefault="00787E6B">
      <w:pPr>
        <w:pStyle w:val="BodyText"/>
        <w:spacing w:before="246"/>
        <w:ind w:right="140"/>
        <w:jc w:val="both"/>
      </w:pPr>
      <w:r>
        <w:t>Sinakalcet nije ispoljio teratogena svojstva na kunićima kada je primenjivan u dozi od 0,4 puta maksimalne humane doze za sekundarni HPT (180 mg dnevno) na osnovu vrednosti PIK-a. Ne–teratogena doza kod pacova iznosila je, na osnovu vrednosti PIK, 4,4 puta veće od maksimalne doze za sekundarni HPT.</w:t>
      </w:r>
      <w:r>
        <w:rPr>
          <w:spacing w:val="40"/>
        </w:rPr>
        <w:t xml:space="preserve"> </w:t>
      </w:r>
      <w:r>
        <w:t>Izlaganje do četvorostruke humane doze od 180 mg dnevno nije uticalo na fertilitet ni mužjaka ni ženki (margina</w:t>
      </w:r>
      <w:r>
        <w:rPr>
          <w:spacing w:val="-1"/>
        </w:rPr>
        <w:t xml:space="preserve"> </w:t>
      </w:r>
      <w:r>
        <w:t>sigurnosti</w:t>
      </w:r>
      <w:r>
        <w:rPr>
          <w:spacing w:val="-1"/>
        </w:rPr>
        <w:t xml:space="preserve"> </w:t>
      </w:r>
      <w:r>
        <w:t>kod</w:t>
      </w:r>
      <w:r>
        <w:rPr>
          <w:spacing w:val="-1"/>
        </w:rPr>
        <w:t xml:space="preserve"> </w:t>
      </w:r>
      <w:r>
        <w:t>malobrojnih pacijenata koji</w:t>
      </w:r>
      <w:r>
        <w:rPr>
          <w:spacing w:val="-3"/>
        </w:rPr>
        <w:t xml:space="preserve"> </w:t>
      </w:r>
      <w:r>
        <w:t>su primali maksimalnu</w:t>
      </w:r>
      <w:r>
        <w:rPr>
          <w:spacing w:val="-1"/>
        </w:rPr>
        <w:t xml:space="preserve"> </w:t>
      </w:r>
      <w:r>
        <w:t>kliničku</w:t>
      </w:r>
      <w:r>
        <w:rPr>
          <w:spacing w:val="-1"/>
        </w:rPr>
        <w:t xml:space="preserve"> </w:t>
      </w:r>
      <w:r>
        <w:t>dozu</w:t>
      </w:r>
      <w:r>
        <w:rPr>
          <w:spacing w:val="-1"/>
        </w:rPr>
        <w:t xml:space="preserve"> </w:t>
      </w:r>
      <w:r>
        <w:t>od</w:t>
      </w:r>
      <w:r>
        <w:rPr>
          <w:spacing w:val="-1"/>
        </w:rPr>
        <w:t xml:space="preserve"> </w:t>
      </w:r>
      <w:r>
        <w:t>360</w:t>
      </w:r>
      <w:r>
        <w:rPr>
          <w:spacing w:val="-1"/>
        </w:rPr>
        <w:t xml:space="preserve"> </w:t>
      </w:r>
      <w:r>
        <w:t>mg</w:t>
      </w:r>
      <w:r>
        <w:rPr>
          <w:spacing w:val="-1"/>
        </w:rPr>
        <w:t xml:space="preserve"> </w:t>
      </w:r>
      <w:r>
        <w:t>dnevno iznosila bi, približno, polovinu od gore navedenih doza).</w:t>
      </w:r>
    </w:p>
    <w:p w14:paraId="5747F9FE" w14:textId="77777777" w:rsidR="00712CF5" w:rsidRDefault="00712CF5">
      <w:pPr>
        <w:pStyle w:val="BodyText"/>
        <w:ind w:left="0"/>
      </w:pPr>
    </w:p>
    <w:p w14:paraId="5747F9FF" w14:textId="77777777" w:rsidR="00712CF5" w:rsidRDefault="00787E6B">
      <w:pPr>
        <w:pStyle w:val="BodyText"/>
        <w:ind w:right="139"/>
        <w:jc w:val="both"/>
      </w:pPr>
      <w:r>
        <w:t>Pri primeni najveće doze kod skotnih pacova registrovano je blago smanjenje telesne mase i potrošnje hrane. Smanjena težina fetusa registrovana je kod pacova pri dozama kada su ženke imale tešku hipokalcemiju. Dokazano je da sinakalcet prolazi kroz placentarnu barijeru kunića.</w:t>
      </w:r>
    </w:p>
    <w:p w14:paraId="5747FA00" w14:textId="77777777" w:rsidR="00712CF5" w:rsidRDefault="00712CF5">
      <w:pPr>
        <w:pStyle w:val="BodyText"/>
        <w:spacing w:before="1"/>
        <w:ind w:left="0"/>
      </w:pPr>
    </w:p>
    <w:p w14:paraId="5747FA01" w14:textId="051AE1B8" w:rsidR="00712CF5" w:rsidRDefault="00787E6B">
      <w:pPr>
        <w:pStyle w:val="BodyText"/>
        <w:ind w:right="139"/>
        <w:jc w:val="both"/>
      </w:pPr>
      <w:r>
        <w:t>Sinakalcet nije ispoljio ni genotoksični ni kancerogeni potencijal. Sigurnosne granice bezbednosti na životinjskim modelima u toksikološkim studijama su male zbog hipokalcemije koja je ograničavala dozu. Pojava katarakte i zamućenja sočiva registrovana je u toksikološkim ispitivanjima pri ponovljenim dozama i ispitivanjima kancerogenosti na glodarima, s tim što</w:t>
      </w:r>
      <w:r>
        <w:rPr>
          <w:spacing w:val="18"/>
        </w:rPr>
        <w:t xml:space="preserve"> </w:t>
      </w:r>
      <w:r>
        <w:t>ove pojave nisu zabeležene na psima</w:t>
      </w:r>
      <w:r>
        <w:rPr>
          <w:spacing w:val="17"/>
        </w:rPr>
        <w:t xml:space="preserve"> </w:t>
      </w:r>
      <w:r>
        <w:t>ili majmun</w:t>
      </w:r>
      <w:r w:rsidR="00D7230A">
        <w:t>ima</w:t>
      </w:r>
      <w:r>
        <w:t>, kao ni u kliničkim ispitivanjima u kojima je vršena kontrola pojave katarakte. Poznato je da se kod glodara javlja katarakta kao posledica hipokalcemije.</w:t>
      </w:r>
    </w:p>
    <w:p w14:paraId="5747FA02" w14:textId="77777777" w:rsidR="00712CF5" w:rsidRDefault="00712CF5">
      <w:pPr>
        <w:pStyle w:val="BodyText"/>
        <w:ind w:left="0"/>
      </w:pPr>
    </w:p>
    <w:p w14:paraId="5747FA03" w14:textId="77777777" w:rsidR="00712CF5" w:rsidRDefault="00787E6B">
      <w:pPr>
        <w:pStyle w:val="BodyText"/>
        <w:ind w:right="139"/>
        <w:jc w:val="both"/>
      </w:pPr>
      <w:r>
        <w:t>U</w:t>
      </w:r>
      <w:r>
        <w:rPr>
          <w:spacing w:val="-5"/>
        </w:rPr>
        <w:t xml:space="preserve"> </w:t>
      </w:r>
      <w:r>
        <w:rPr>
          <w:i/>
        </w:rPr>
        <w:t xml:space="preserve">in vitro </w:t>
      </w:r>
      <w:r>
        <w:t>ispitivanjima</w:t>
      </w:r>
      <w:r>
        <w:rPr>
          <w:spacing w:val="-2"/>
        </w:rPr>
        <w:t xml:space="preserve"> </w:t>
      </w:r>
      <w:r>
        <w:t>su</w:t>
      </w:r>
      <w:r>
        <w:rPr>
          <w:spacing w:val="-2"/>
        </w:rPr>
        <w:t xml:space="preserve"> </w:t>
      </w:r>
      <w:r>
        <w:t>vrednosti</w:t>
      </w:r>
      <w:r>
        <w:rPr>
          <w:spacing w:val="-2"/>
        </w:rPr>
        <w:t xml:space="preserve"> </w:t>
      </w:r>
      <w:r>
        <w:t>IC</w:t>
      </w:r>
      <w:r>
        <w:rPr>
          <w:vertAlign w:val="subscript"/>
        </w:rPr>
        <w:t>50</w:t>
      </w:r>
      <w:r>
        <w:rPr>
          <w:spacing w:val="-1"/>
        </w:rPr>
        <w:t xml:space="preserve"> </w:t>
      </w:r>
      <w:r>
        <w:t>za</w:t>
      </w:r>
      <w:r>
        <w:rPr>
          <w:spacing w:val="-1"/>
        </w:rPr>
        <w:t xml:space="preserve"> </w:t>
      </w:r>
      <w:r>
        <w:t>transporter serotonina</w:t>
      </w:r>
      <w:r>
        <w:rPr>
          <w:spacing w:val="-2"/>
        </w:rPr>
        <w:t xml:space="preserve"> </w:t>
      </w:r>
      <w:r>
        <w:t>i</w:t>
      </w:r>
      <w:r>
        <w:rPr>
          <w:spacing w:val="-2"/>
        </w:rPr>
        <w:t xml:space="preserve"> </w:t>
      </w:r>
      <w:r>
        <w:t>K</w:t>
      </w:r>
      <w:r>
        <w:rPr>
          <w:vertAlign w:val="subscript"/>
        </w:rPr>
        <w:t>ATP</w:t>
      </w:r>
      <w:r>
        <w:t xml:space="preserve"> kanale</w:t>
      </w:r>
      <w:r>
        <w:rPr>
          <w:spacing w:val="-2"/>
        </w:rPr>
        <w:t xml:space="preserve"> </w:t>
      </w:r>
      <w:r>
        <w:t>bile</w:t>
      </w:r>
      <w:r>
        <w:rPr>
          <w:spacing w:val="-2"/>
        </w:rPr>
        <w:t xml:space="preserve"> </w:t>
      </w:r>
      <w:r>
        <w:t>7,</w:t>
      </w:r>
      <w:r>
        <w:rPr>
          <w:spacing w:val="-2"/>
        </w:rPr>
        <w:t xml:space="preserve"> </w:t>
      </w:r>
      <w:r>
        <w:t>odnosno</w:t>
      </w:r>
      <w:r>
        <w:rPr>
          <w:spacing w:val="-2"/>
        </w:rPr>
        <w:t xml:space="preserve"> </w:t>
      </w:r>
      <w:r>
        <w:t>12</w:t>
      </w:r>
      <w:r>
        <w:rPr>
          <w:spacing w:val="-2"/>
        </w:rPr>
        <w:t xml:space="preserve"> </w:t>
      </w:r>
      <w:r>
        <w:t>puta</w:t>
      </w:r>
      <w:r>
        <w:rPr>
          <w:spacing w:val="-2"/>
        </w:rPr>
        <w:t xml:space="preserve"> </w:t>
      </w:r>
      <w:r>
        <w:t>veće od</w:t>
      </w:r>
      <w:r>
        <w:rPr>
          <w:spacing w:val="-1"/>
        </w:rPr>
        <w:t xml:space="preserve"> </w:t>
      </w:r>
      <w:r>
        <w:t>EC</w:t>
      </w:r>
      <w:r>
        <w:rPr>
          <w:vertAlign w:val="subscript"/>
        </w:rPr>
        <w:t>50</w:t>
      </w:r>
      <w:r>
        <w:t xml:space="preserve"> za receptor osetljiv na kalcijum, dobijene pod istim eksperimentalnim uslovima. Klinički značaj nije poznat, s tim što se ne može isključiti mogućnost da sinakalcet deluje i na ove sekundarne</w:t>
      </w:r>
      <w:r>
        <w:rPr>
          <w:spacing w:val="-2"/>
        </w:rPr>
        <w:t xml:space="preserve"> </w:t>
      </w:r>
      <w:r>
        <w:t>ciljeve.</w:t>
      </w:r>
    </w:p>
    <w:p w14:paraId="5747FA04" w14:textId="77777777" w:rsidR="00712CF5" w:rsidRDefault="00787E6B">
      <w:pPr>
        <w:pStyle w:val="BodyText"/>
        <w:spacing w:before="250"/>
        <w:ind w:right="139"/>
        <w:jc w:val="both"/>
      </w:pPr>
      <w:r>
        <w:t>U ispitivanjima toksičnosti na mladim psima zapaženi su tremori kao posledica smanjene koncentracije kalcijuma u serumu, emeza, gubitak telesne mase i dobijanje na telesnoj masi, smanjena masa eritrocita, blago smanjeni parametri gustine kostiju, reverzibilno širenje epifizne ploče dugih kostiju, kao i histološke limfoidne promene (ograničene na grudnu duplju i pripisane hroničnoj emezi). Svi navedeni efekti</w:t>
      </w:r>
      <w:r>
        <w:rPr>
          <w:spacing w:val="40"/>
        </w:rPr>
        <w:t xml:space="preserve"> </w:t>
      </w:r>
      <w:r>
        <w:t>zabeleženi su kod sistemske izloženosti, na osnovu vrednosti PIK, približno ekvivalentne izloženosti kod pacijenata kod maksimalne doze za sekundarni HPT.</w:t>
      </w:r>
    </w:p>
    <w:p w14:paraId="5747FA05" w14:textId="77777777" w:rsidR="00712CF5" w:rsidRDefault="00712CF5">
      <w:pPr>
        <w:pStyle w:val="BodyText"/>
        <w:spacing w:before="206"/>
        <w:ind w:left="0"/>
      </w:pPr>
    </w:p>
    <w:p w14:paraId="5747FA06" w14:textId="77777777" w:rsidR="00712CF5" w:rsidRDefault="00787E6B">
      <w:pPr>
        <w:pStyle w:val="Heading1"/>
        <w:numPr>
          <w:ilvl w:val="0"/>
          <w:numId w:val="3"/>
        </w:numPr>
        <w:tabs>
          <w:tab w:val="left" w:pos="358"/>
        </w:tabs>
        <w:ind w:left="358" w:hanging="218"/>
      </w:pPr>
      <w:r>
        <w:t>FARMACEUTSKI</w:t>
      </w:r>
      <w:r>
        <w:rPr>
          <w:spacing w:val="-12"/>
        </w:rPr>
        <w:t xml:space="preserve"> </w:t>
      </w:r>
      <w:r>
        <w:rPr>
          <w:spacing w:val="-2"/>
        </w:rPr>
        <w:t>PODACI</w:t>
      </w:r>
    </w:p>
    <w:p w14:paraId="5747FA07" w14:textId="77777777" w:rsidR="00712CF5" w:rsidRDefault="00787E6B">
      <w:pPr>
        <w:pStyle w:val="Heading2"/>
        <w:numPr>
          <w:ilvl w:val="1"/>
          <w:numId w:val="3"/>
        </w:numPr>
        <w:tabs>
          <w:tab w:val="left" w:pos="523"/>
        </w:tabs>
        <w:spacing w:before="198" w:line="251" w:lineRule="exact"/>
        <w:ind w:left="523" w:hanging="383"/>
      </w:pPr>
      <w:r>
        <w:t>Lista</w:t>
      </w:r>
      <w:r>
        <w:rPr>
          <w:spacing w:val="-9"/>
        </w:rPr>
        <w:t xml:space="preserve"> </w:t>
      </w:r>
      <w:r>
        <w:t>pomoćnih</w:t>
      </w:r>
      <w:r>
        <w:rPr>
          <w:spacing w:val="-9"/>
        </w:rPr>
        <w:t xml:space="preserve"> </w:t>
      </w:r>
      <w:r>
        <w:rPr>
          <w:spacing w:val="-2"/>
        </w:rPr>
        <w:t>supstanci</w:t>
      </w:r>
    </w:p>
    <w:p w14:paraId="5747FA08" w14:textId="77777777" w:rsidR="00712CF5" w:rsidRDefault="00787E6B">
      <w:pPr>
        <w:pStyle w:val="BodyText"/>
        <w:spacing w:line="251" w:lineRule="exact"/>
      </w:pPr>
      <w:r>
        <w:rPr>
          <w:u w:val="single"/>
        </w:rPr>
        <w:t>Jezgro</w:t>
      </w:r>
      <w:r>
        <w:rPr>
          <w:spacing w:val="-5"/>
          <w:u w:val="single"/>
        </w:rPr>
        <w:t xml:space="preserve"> </w:t>
      </w:r>
      <w:r>
        <w:rPr>
          <w:spacing w:val="-2"/>
          <w:u w:val="single"/>
        </w:rPr>
        <w:t>tablete</w:t>
      </w:r>
    </w:p>
    <w:p w14:paraId="5747FA09" w14:textId="77777777" w:rsidR="00712CF5" w:rsidRDefault="00787E6B">
      <w:pPr>
        <w:pStyle w:val="BodyText"/>
        <w:spacing w:before="4" w:line="237" w:lineRule="auto"/>
        <w:ind w:right="6837"/>
      </w:pPr>
      <w:r>
        <w:t>Skrob, preželatinizovani Celuloza,</w:t>
      </w:r>
      <w:r>
        <w:rPr>
          <w:spacing w:val="-14"/>
        </w:rPr>
        <w:t xml:space="preserve"> </w:t>
      </w:r>
      <w:r>
        <w:t>mikrokristalna</w:t>
      </w:r>
      <w:r>
        <w:rPr>
          <w:spacing w:val="-14"/>
        </w:rPr>
        <w:t xml:space="preserve"> </w:t>
      </w:r>
      <w:r>
        <w:t>PH-102</w:t>
      </w:r>
    </w:p>
    <w:p w14:paraId="5747FA0A" w14:textId="77777777" w:rsidR="00712CF5" w:rsidRDefault="00712CF5">
      <w:pPr>
        <w:pStyle w:val="BodyText"/>
        <w:spacing w:line="237" w:lineRule="auto"/>
        <w:sectPr w:rsidR="00712CF5">
          <w:pgSz w:w="11910" w:h="16840"/>
          <w:pgMar w:top="1060" w:right="992" w:bottom="1500" w:left="992" w:header="0" w:footer="1311" w:gutter="0"/>
          <w:cols w:space="720"/>
        </w:sectPr>
      </w:pPr>
    </w:p>
    <w:p w14:paraId="5747FA0B" w14:textId="77777777" w:rsidR="00712CF5" w:rsidRDefault="00787E6B">
      <w:pPr>
        <w:pStyle w:val="BodyText"/>
        <w:spacing w:before="67" w:line="237" w:lineRule="auto"/>
        <w:ind w:right="6549"/>
      </w:pPr>
      <w:r>
        <w:lastRenderedPageBreak/>
        <w:t>L-hidroksipropil</w:t>
      </w:r>
      <w:r>
        <w:rPr>
          <w:spacing w:val="-9"/>
        </w:rPr>
        <w:t xml:space="preserve"> </w:t>
      </w:r>
      <w:r>
        <w:t>celuloza</w:t>
      </w:r>
      <w:r>
        <w:rPr>
          <w:spacing w:val="-5"/>
        </w:rPr>
        <w:t xml:space="preserve"> </w:t>
      </w:r>
      <w:r>
        <w:t>–</w:t>
      </w:r>
      <w:r>
        <w:rPr>
          <w:spacing w:val="-8"/>
        </w:rPr>
        <w:t xml:space="preserve"> </w:t>
      </w:r>
      <w:r>
        <w:t>LH</w:t>
      </w:r>
      <w:r>
        <w:rPr>
          <w:spacing w:val="-11"/>
        </w:rPr>
        <w:t xml:space="preserve"> </w:t>
      </w:r>
      <w:r>
        <w:t>11 Krospovidon XL 10</w:t>
      </w:r>
    </w:p>
    <w:p w14:paraId="5747FA0C" w14:textId="77777777" w:rsidR="00712CF5" w:rsidRDefault="00787E6B">
      <w:pPr>
        <w:pStyle w:val="BodyText"/>
        <w:spacing w:before="1"/>
        <w:ind w:right="6549"/>
      </w:pPr>
      <w:r>
        <w:t>Silicijum-dioksid</w:t>
      </w:r>
      <w:r>
        <w:rPr>
          <w:spacing w:val="-14"/>
        </w:rPr>
        <w:t xml:space="preserve"> </w:t>
      </w:r>
      <w:r>
        <w:t>koloidni,</w:t>
      </w:r>
      <w:r>
        <w:rPr>
          <w:spacing w:val="-14"/>
        </w:rPr>
        <w:t xml:space="preserve"> </w:t>
      </w:r>
      <w:r>
        <w:t xml:space="preserve">bezvodni </w:t>
      </w:r>
      <w:r>
        <w:rPr>
          <w:spacing w:val="-2"/>
        </w:rPr>
        <w:t>Magnezijum-stearat</w:t>
      </w:r>
    </w:p>
    <w:p w14:paraId="5747FA0D" w14:textId="77777777" w:rsidR="00712CF5" w:rsidRDefault="00787E6B">
      <w:pPr>
        <w:pStyle w:val="BodyText"/>
        <w:spacing w:before="252"/>
      </w:pPr>
      <w:r>
        <w:rPr>
          <w:u w:val="single"/>
        </w:rPr>
        <w:t>Film</w:t>
      </w:r>
      <w:r>
        <w:rPr>
          <w:spacing w:val="-5"/>
          <w:u w:val="single"/>
        </w:rPr>
        <w:t xml:space="preserve"> </w:t>
      </w:r>
      <w:r>
        <w:rPr>
          <w:u w:val="single"/>
        </w:rPr>
        <w:t>(obloga)</w:t>
      </w:r>
      <w:r>
        <w:rPr>
          <w:spacing w:val="-4"/>
          <w:u w:val="single"/>
        </w:rPr>
        <w:t xml:space="preserve"> </w:t>
      </w:r>
      <w:r>
        <w:rPr>
          <w:spacing w:val="-2"/>
          <w:u w:val="single"/>
        </w:rPr>
        <w:t>tablete:</w:t>
      </w:r>
    </w:p>
    <w:p w14:paraId="5747FA0E" w14:textId="77777777" w:rsidR="00712CF5" w:rsidRDefault="00787E6B">
      <w:pPr>
        <w:spacing w:before="2" w:line="251" w:lineRule="exact"/>
        <w:ind w:left="140"/>
        <w:rPr>
          <w:i/>
        </w:rPr>
      </w:pPr>
      <w:r>
        <w:rPr>
          <w:i/>
        </w:rPr>
        <w:t>Opadry</w:t>
      </w:r>
      <w:r>
        <w:rPr>
          <w:i/>
          <w:spacing w:val="-4"/>
        </w:rPr>
        <w:t xml:space="preserve"> </w:t>
      </w:r>
      <w:r>
        <w:rPr>
          <w:i/>
        </w:rPr>
        <w:t>II</w:t>
      </w:r>
      <w:r>
        <w:rPr>
          <w:i/>
          <w:spacing w:val="-1"/>
        </w:rPr>
        <w:t xml:space="preserve"> </w:t>
      </w:r>
      <w:r>
        <w:rPr>
          <w:i/>
          <w:spacing w:val="-2"/>
        </w:rPr>
        <w:t>Green:</w:t>
      </w:r>
    </w:p>
    <w:p w14:paraId="5747FA0F" w14:textId="77777777" w:rsidR="00712CF5" w:rsidRDefault="00787E6B">
      <w:pPr>
        <w:pStyle w:val="BodyText"/>
        <w:ind w:right="6549"/>
      </w:pPr>
      <w:r>
        <w:t>hidroksipropilmetilceluloza</w:t>
      </w:r>
      <w:r>
        <w:rPr>
          <w:spacing w:val="-14"/>
        </w:rPr>
        <w:t xml:space="preserve"> </w:t>
      </w:r>
      <w:r>
        <w:t>2910, laktoza, monohidrat,</w:t>
      </w:r>
    </w:p>
    <w:p w14:paraId="5747FA10" w14:textId="77777777" w:rsidR="00712CF5" w:rsidRDefault="00787E6B">
      <w:pPr>
        <w:pStyle w:val="BodyText"/>
        <w:spacing w:before="1"/>
        <w:ind w:right="7946"/>
      </w:pPr>
      <w:r>
        <w:t>titan-dioksid</w:t>
      </w:r>
      <w:r>
        <w:rPr>
          <w:spacing w:val="-14"/>
        </w:rPr>
        <w:t xml:space="preserve"> </w:t>
      </w:r>
      <w:r>
        <w:t xml:space="preserve">(E171), </w:t>
      </w:r>
      <w:r>
        <w:rPr>
          <w:spacing w:val="-2"/>
        </w:rPr>
        <w:t>makrogol,</w:t>
      </w:r>
    </w:p>
    <w:p w14:paraId="5747FA11" w14:textId="77777777" w:rsidR="00712CF5" w:rsidRDefault="00787E6B">
      <w:pPr>
        <w:pStyle w:val="BodyText"/>
        <w:ind w:right="5448"/>
      </w:pPr>
      <w:r>
        <w:t>FD&amp;C</w:t>
      </w:r>
      <w:r>
        <w:rPr>
          <w:spacing w:val="40"/>
        </w:rPr>
        <w:t xml:space="preserve"> </w:t>
      </w:r>
      <w:r>
        <w:t>Blue#2/Indigo</w:t>
      </w:r>
      <w:r>
        <w:rPr>
          <w:spacing w:val="-10"/>
        </w:rPr>
        <w:t xml:space="preserve"> </w:t>
      </w:r>
      <w:r>
        <w:t>karmin</w:t>
      </w:r>
      <w:r>
        <w:rPr>
          <w:spacing w:val="-11"/>
        </w:rPr>
        <w:t xml:space="preserve"> </w:t>
      </w:r>
      <w:r>
        <w:t>E(132), aluminijum lak,</w:t>
      </w:r>
    </w:p>
    <w:p w14:paraId="5747FA12" w14:textId="77777777" w:rsidR="00712CF5" w:rsidRDefault="00787E6B">
      <w:pPr>
        <w:pStyle w:val="BodyText"/>
        <w:spacing w:before="3" w:line="237" w:lineRule="auto"/>
        <w:ind w:right="6549"/>
      </w:pPr>
      <w:r>
        <w:t>FD&amp;C</w:t>
      </w:r>
      <w:r>
        <w:rPr>
          <w:spacing w:val="-11"/>
        </w:rPr>
        <w:t xml:space="preserve"> </w:t>
      </w:r>
      <w:r>
        <w:t>Yellow</w:t>
      </w:r>
      <w:r>
        <w:rPr>
          <w:spacing w:val="-12"/>
        </w:rPr>
        <w:t xml:space="preserve"> </w:t>
      </w:r>
      <w:r>
        <w:t>#5/tartrazin</w:t>
      </w:r>
      <w:r>
        <w:rPr>
          <w:spacing w:val="-14"/>
        </w:rPr>
        <w:t xml:space="preserve"> </w:t>
      </w:r>
      <w:r>
        <w:t>(E102), aluminijum lak,</w:t>
      </w:r>
    </w:p>
    <w:p w14:paraId="5747FA13" w14:textId="77777777" w:rsidR="00712CF5" w:rsidRDefault="00787E6B">
      <w:pPr>
        <w:pStyle w:val="BodyText"/>
        <w:spacing w:before="1"/>
        <w:ind w:right="5448"/>
      </w:pPr>
      <w:r>
        <w:t>FD&amp;C</w:t>
      </w:r>
      <w:r>
        <w:rPr>
          <w:spacing w:val="-7"/>
        </w:rPr>
        <w:t xml:space="preserve"> </w:t>
      </w:r>
      <w:r>
        <w:t>Yellow</w:t>
      </w:r>
      <w:r>
        <w:rPr>
          <w:spacing w:val="-7"/>
        </w:rPr>
        <w:t xml:space="preserve"> </w:t>
      </w:r>
      <w:r>
        <w:t>#6/Sunset</w:t>
      </w:r>
      <w:r>
        <w:rPr>
          <w:spacing w:val="-5"/>
        </w:rPr>
        <w:t xml:space="preserve"> </w:t>
      </w:r>
      <w:r>
        <w:t>yellow</w:t>
      </w:r>
      <w:r>
        <w:rPr>
          <w:spacing w:val="-7"/>
        </w:rPr>
        <w:t xml:space="preserve"> </w:t>
      </w:r>
      <w:r>
        <w:t>(E110)</w:t>
      </w:r>
      <w:r>
        <w:rPr>
          <w:spacing w:val="-5"/>
        </w:rPr>
        <w:t xml:space="preserve"> </w:t>
      </w:r>
      <w:r>
        <w:t>FCF, aluminijum lak.</w:t>
      </w:r>
    </w:p>
    <w:p w14:paraId="5747FA14" w14:textId="77777777" w:rsidR="00712CF5" w:rsidRDefault="00787E6B">
      <w:pPr>
        <w:spacing w:before="3" w:line="251" w:lineRule="exact"/>
        <w:ind w:left="140"/>
        <w:rPr>
          <w:i/>
        </w:rPr>
      </w:pPr>
      <w:r>
        <w:rPr>
          <w:i/>
        </w:rPr>
        <w:t>Opadry</w:t>
      </w:r>
      <w:r>
        <w:rPr>
          <w:i/>
          <w:spacing w:val="-4"/>
        </w:rPr>
        <w:t xml:space="preserve"> </w:t>
      </w:r>
      <w:r>
        <w:rPr>
          <w:i/>
          <w:spacing w:val="-2"/>
        </w:rPr>
        <w:t>Clear:</w:t>
      </w:r>
    </w:p>
    <w:p w14:paraId="5747FA15" w14:textId="77777777" w:rsidR="00712CF5" w:rsidRDefault="00787E6B">
      <w:pPr>
        <w:pStyle w:val="BodyText"/>
        <w:ind w:right="6549"/>
      </w:pPr>
      <w:r>
        <w:t>hidroksipropilmetilceluloza</w:t>
      </w:r>
      <w:r>
        <w:rPr>
          <w:spacing w:val="-14"/>
        </w:rPr>
        <w:t xml:space="preserve"> </w:t>
      </w:r>
      <w:r>
        <w:t xml:space="preserve">2910, </w:t>
      </w:r>
      <w:r>
        <w:rPr>
          <w:spacing w:val="-2"/>
        </w:rPr>
        <w:t>makrogol.</w:t>
      </w:r>
    </w:p>
    <w:p w14:paraId="5747FA16" w14:textId="77777777" w:rsidR="00712CF5" w:rsidRDefault="00712CF5">
      <w:pPr>
        <w:pStyle w:val="BodyText"/>
        <w:spacing w:before="2"/>
        <w:ind w:left="0"/>
      </w:pPr>
    </w:p>
    <w:p w14:paraId="5747FA17" w14:textId="77777777" w:rsidR="00712CF5" w:rsidRDefault="00787E6B">
      <w:pPr>
        <w:pStyle w:val="Heading2"/>
        <w:numPr>
          <w:ilvl w:val="1"/>
          <w:numId w:val="3"/>
        </w:numPr>
        <w:tabs>
          <w:tab w:val="left" w:pos="522"/>
        </w:tabs>
        <w:ind w:left="522" w:hanging="382"/>
      </w:pPr>
      <w:r>
        <w:rPr>
          <w:spacing w:val="-2"/>
        </w:rPr>
        <w:t>Inkompatibilnost</w:t>
      </w:r>
    </w:p>
    <w:p w14:paraId="5747FA18" w14:textId="77777777" w:rsidR="00712CF5" w:rsidRDefault="00787E6B">
      <w:pPr>
        <w:pStyle w:val="BodyText"/>
        <w:spacing w:before="251"/>
      </w:pPr>
      <w:r>
        <w:t>Nije</w:t>
      </w:r>
      <w:r>
        <w:rPr>
          <w:spacing w:val="-5"/>
        </w:rPr>
        <w:t xml:space="preserve"> </w:t>
      </w:r>
      <w:r>
        <w:rPr>
          <w:spacing w:val="-2"/>
        </w:rPr>
        <w:t>primenljivo.</w:t>
      </w:r>
    </w:p>
    <w:p w14:paraId="5747FA19" w14:textId="77777777" w:rsidR="00712CF5" w:rsidRDefault="00712CF5">
      <w:pPr>
        <w:pStyle w:val="BodyText"/>
        <w:spacing w:before="3"/>
        <w:ind w:left="0"/>
      </w:pPr>
    </w:p>
    <w:p w14:paraId="5747FA1A" w14:textId="77777777" w:rsidR="00712CF5" w:rsidRDefault="00787E6B">
      <w:pPr>
        <w:pStyle w:val="Heading2"/>
        <w:numPr>
          <w:ilvl w:val="1"/>
          <w:numId w:val="3"/>
        </w:numPr>
        <w:tabs>
          <w:tab w:val="left" w:pos="522"/>
        </w:tabs>
        <w:ind w:left="522" w:hanging="382"/>
      </w:pPr>
      <w:r>
        <w:t>Rok</w:t>
      </w:r>
      <w:r>
        <w:rPr>
          <w:spacing w:val="-3"/>
        </w:rPr>
        <w:t xml:space="preserve"> </w:t>
      </w:r>
      <w:r>
        <w:rPr>
          <w:spacing w:val="-2"/>
        </w:rPr>
        <w:t>upotrebe</w:t>
      </w:r>
    </w:p>
    <w:p w14:paraId="5747FA1B" w14:textId="77777777" w:rsidR="00712CF5" w:rsidRDefault="00787E6B">
      <w:pPr>
        <w:pStyle w:val="BodyText"/>
        <w:spacing w:before="251"/>
      </w:pPr>
      <w:r>
        <w:t>2</w:t>
      </w:r>
      <w:r>
        <w:rPr>
          <w:spacing w:val="-1"/>
        </w:rPr>
        <w:t xml:space="preserve"> </w:t>
      </w:r>
      <w:r>
        <w:rPr>
          <w:spacing w:val="-2"/>
        </w:rPr>
        <w:t>godine</w:t>
      </w:r>
    </w:p>
    <w:p w14:paraId="5747FA1C" w14:textId="77777777" w:rsidR="00712CF5" w:rsidRDefault="00712CF5">
      <w:pPr>
        <w:pStyle w:val="BodyText"/>
        <w:spacing w:before="3"/>
        <w:ind w:left="0"/>
      </w:pPr>
    </w:p>
    <w:p w14:paraId="5747FA1D" w14:textId="77777777" w:rsidR="00712CF5" w:rsidRDefault="00787E6B">
      <w:pPr>
        <w:pStyle w:val="Heading2"/>
        <w:numPr>
          <w:ilvl w:val="1"/>
          <w:numId w:val="3"/>
        </w:numPr>
        <w:tabs>
          <w:tab w:val="left" w:pos="521"/>
        </w:tabs>
        <w:ind w:left="521" w:hanging="381"/>
      </w:pPr>
      <w:r>
        <w:t>Posebne</w:t>
      </w:r>
      <w:r>
        <w:rPr>
          <w:spacing w:val="-6"/>
        </w:rPr>
        <w:t xml:space="preserve"> </w:t>
      </w:r>
      <w:r>
        <w:t>mere</w:t>
      </w:r>
      <w:r>
        <w:rPr>
          <w:spacing w:val="-3"/>
        </w:rPr>
        <w:t xml:space="preserve"> </w:t>
      </w:r>
      <w:r>
        <w:t>opreza</w:t>
      </w:r>
      <w:r>
        <w:rPr>
          <w:spacing w:val="-3"/>
        </w:rPr>
        <w:t xml:space="preserve"> </w:t>
      </w:r>
      <w:r>
        <w:t>pri</w:t>
      </w:r>
      <w:r>
        <w:rPr>
          <w:spacing w:val="-4"/>
        </w:rPr>
        <w:t xml:space="preserve"> </w:t>
      </w:r>
      <w:r>
        <w:rPr>
          <w:spacing w:val="-2"/>
        </w:rPr>
        <w:t>čuvanju</w:t>
      </w:r>
    </w:p>
    <w:p w14:paraId="5747FA1E" w14:textId="77777777" w:rsidR="00712CF5" w:rsidRDefault="00787E6B">
      <w:pPr>
        <w:pStyle w:val="BodyText"/>
        <w:spacing w:before="246"/>
        <w:ind w:right="5740"/>
      </w:pPr>
      <w:r>
        <w:t>Čuvati</w:t>
      </w:r>
      <w:r>
        <w:rPr>
          <w:spacing w:val="-7"/>
        </w:rPr>
        <w:t xml:space="preserve"> </w:t>
      </w:r>
      <w:r>
        <w:t>lek</w:t>
      </w:r>
      <w:r>
        <w:rPr>
          <w:spacing w:val="-5"/>
        </w:rPr>
        <w:t xml:space="preserve"> </w:t>
      </w:r>
      <w:r>
        <w:t>van</w:t>
      </w:r>
      <w:r>
        <w:rPr>
          <w:spacing w:val="-7"/>
        </w:rPr>
        <w:t xml:space="preserve"> </w:t>
      </w:r>
      <w:r>
        <w:t>domašaja</w:t>
      </w:r>
      <w:r>
        <w:rPr>
          <w:spacing w:val="-7"/>
        </w:rPr>
        <w:t xml:space="preserve"> </w:t>
      </w:r>
      <w:r>
        <w:t>i</w:t>
      </w:r>
      <w:r>
        <w:rPr>
          <w:spacing w:val="-7"/>
        </w:rPr>
        <w:t xml:space="preserve"> </w:t>
      </w:r>
      <w:r>
        <w:t>vidokruga</w:t>
      </w:r>
      <w:r>
        <w:rPr>
          <w:spacing w:val="-7"/>
        </w:rPr>
        <w:t xml:space="preserve"> </w:t>
      </w:r>
      <w:r>
        <w:t>dece! Lek ne zahteva posebne uslove čuvanja.</w:t>
      </w:r>
    </w:p>
    <w:p w14:paraId="5747FA1F" w14:textId="77777777" w:rsidR="00712CF5" w:rsidRDefault="00712CF5">
      <w:pPr>
        <w:pStyle w:val="BodyText"/>
        <w:spacing w:before="4"/>
        <w:ind w:left="0"/>
      </w:pPr>
    </w:p>
    <w:p w14:paraId="5747FA20" w14:textId="77777777" w:rsidR="00712CF5" w:rsidRDefault="00787E6B">
      <w:pPr>
        <w:pStyle w:val="Heading2"/>
        <w:numPr>
          <w:ilvl w:val="1"/>
          <w:numId w:val="3"/>
        </w:numPr>
        <w:tabs>
          <w:tab w:val="left" w:pos="528"/>
        </w:tabs>
        <w:ind w:left="528" w:hanging="388"/>
      </w:pPr>
      <w:r>
        <w:t>Priroda</w:t>
      </w:r>
      <w:r>
        <w:rPr>
          <w:spacing w:val="-9"/>
        </w:rPr>
        <w:t xml:space="preserve"> </w:t>
      </w:r>
      <w:r>
        <w:t>i</w:t>
      </w:r>
      <w:r>
        <w:rPr>
          <w:spacing w:val="-6"/>
        </w:rPr>
        <w:t xml:space="preserve"> </w:t>
      </w:r>
      <w:r>
        <w:t>sadržaj</w:t>
      </w:r>
      <w:r>
        <w:rPr>
          <w:spacing w:val="-6"/>
        </w:rPr>
        <w:t xml:space="preserve"> </w:t>
      </w:r>
      <w:r>
        <w:t>pakovanja</w:t>
      </w:r>
      <w:r>
        <w:rPr>
          <w:spacing w:val="-7"/>
        </w:rPr>
        <w:t xml:space="preserve"> </w:t>
      </w:r>
      <w:r>
        <w:t>&lt;i</w:t>
      </w:r>
      <w:r>
        <w:rPr>
          <w:spacing w:val="-6"/>
        </w:rPr>
        <w:t xml:space="preserve"> </w:t>
      </w:r>
      <w:r>
        <w:t>posebne</w:t>
      </w:r>
      <w:r>
        <w:rPr>
          <w:spacing w:val="-6"/>
        </w:rPr>
        <w:t xml:space="preserve"> </w:t>
      </w:r>
      <w:r>
        <w:t>opreme</w:t>
      </w:r>
      <w:r>
        <w:rPr>
          <w:spacing w:val="-6"/>
        </w:rPr>
        <w:t xml:space="preserve"> </w:t>
      </w:r>
      <w:r>
        <w:t>za</w:t>
      </w:r>
      <w:r>
        <w:rPr>
          <w:spacing w:val="-6"/>
        </w:rPr>
        <w:t xml:space="preserve"> </w:t>
      </w:r>
      <w:r>
        <w:t>upotrebu,</w:t>
      </w:r>
      <w:r>
        <w:rPr>
          <w:spacing w:val="-6"/>
        </w:rPr>
        <w:t xml:space="preserve"> </w:t>
      </w:r>
      <w:r>
        <w:t>primenu</w:t>
      </w:r>
      <w:r>
        <w:rPr>
          <w:spacing w:val="-6"/>
        </w:rPr>
        <w:t xml:space="preserve"> </w:t>
      </w:r>
      <w:r>
        <w:t>ili</w:t>
      </w:r>
      <w:r>
        <w:rPr>
          <w:spacing w:val="-6"/>
        </w:rPr>
        <w:t xml:space="preserve"> </w:t>
      </w:r>
      <w:r>
        <w:t>implantaciju</w:t>
      </w:r>
      <w:r>
        <w:rPr>
          <w:spacing w:val="-6"/>
        </w:rPr>
        <w:t xml:space="preserve"> </w:t>
      </w:r>
      <w:r>
        <w:rPr>
          <w:spacing w:val="-2"/>
        </w:rPr>
        <w:t>leka&gt;</w:t>
      </w:r>
    </w:p>
    <w:p w14:paraId="5747FA21" w14:textId="77777777" w:rsidR="00712CF5" w:rsidRDefault="00787E6B">
      <w:pPr>
        <w:pStyle w:val="BodyText"/>
        <w:spacing w:before="251"/>
      </w:pPr>
      <w:r>
        <w:t>Unutrašnje</w:t>
      </w:r>
      <w:r>
        <w:rPr>
          <w:spacing w:val="-6"/>
        </w:rPr>
        <w:t xml:space="preserve"> </w:t>
      </w:r>
      <w:r>
        <w:t>pakovanje</w:t>
      </w:r>
      <w:r>
        <w:rPr>
          <w:spacing w:val="-10"/>
        </w:rPr>
        <w:t xml:space="preserve"> </w:t>
      </w:r>
      <w:r>
        <w:t>je</w:t>
      </w:r>
      <w:r>
        <w:rPr>
          <w:spacing w:val="-6"/>
        </w:rPr>
        <w:t xml:space="preserve"> </w:t>
      </w:r>
      <w:r>
        <w:t>providni</w:t>
      </w:r>
      <w:r>
        <w:rPr>
          <w:spacing w:val="-7"/>
        </w:rPr>
        <w:t xml:space="preserve"> </w:t>
      </w:r>
      <w:r>
        <w:t>PVC/Aclar -</w:t>
      </w:r>
      <w:r>
        <w:rPr>
          <w:spacing w:val="-9"/>
        </w:rPr>
        <w:t xml:space="preserve"> </w:t>
      </w:r>
      <w:r>
        <w:t>aluminijumski</w:t>
      </w:r>
      <w:r>
        <w:rPr>
          <w:spacing w:val="-6"/>
        </w:rPr>
        <w:t xml:space="preserve"> </w:t>
      </w:r>
      <w:r>
        <w:t>blister</w:t>
      </w:r>
      <w:r>
        <w:rPr>
          <w:spacing w:val="-6"/>
        </w:rPr>
        <w:t xml:space="preserve"> </w:t>
      </w:r>
      <w:r>
        <w:t>koji</w:t>
      </w:r>
      <w:r>
        <w:rPr>
          <w:spacing w:val="-6"/>
        </w:rPr>
        <w:t xml:space="preserve"> </w:t>
      </w:r>
      <w:r>
        <w:t>sadrži</w:t>
      </w:r>
      <w:r>
        <w:rPr>
          <w:spacing w:val="-4"/>
        </w:rPr>
        <w:t xml:space="preserve"> </w:t>
      </w:r>
      <w:r>
        <w:t>14</w:t>
      </w:r>
      <w:r>
        <w:rPr>
          <w:spacing w:val="-6"/>
        </w:rPr>
        <w:t xml:space="preserve"> </w:t>
      </w:r>
      <w:r>
        <w:t>film</w:t>
      </w:r>
      <w:r>
        <w:rPr>
          <w:spacing w:val="-5"/>
        </w:rPr>
        <w:t xml:space="preserve"> </w:t>
      </w:r>
      <w:r>
        <w:rPr>
          <w:spacing w:val="-2"/>
        </w:rPr>
        <w:t>tableta.</w:t>
      </w:r>
    </w:p>
    <w:p w14:paraId="5747FA22" w14:textId="77777777" w:rsidR="00712CF5" w:rsidRDefault="00787E6B">
      <w:pPr>
        <w:pStyle w:val="BodyText"/>
        <w:spacing w:before="4" w:line="237" w:lineRule="auto"/>
        <w:ind w:right="140"/>
      </w:pPr>
      <w:r>
        <w:t>Spoljašnje pakovanje je složiva kartonska kutija u kojoj se nalaze dva blistera sa po 14 film tableta (ukupno 28 film tableta) i Uputstvo za lek.</w:t>
      </w:r>
    </w:p>
    <w:p w14:paraId="5747FA23" w14:textId="77777777" w:rsidR="00712CF5" w:rsidRDefault="00712CF5">
      <w:pPr>
        <w:pStyle w:val="BodyText"/>
        <w:spacing w:before="9"/>
        <w:ind w:left="0"/>
      </w:pPr>
    </w:p>
    <w:p w14:paraId="5747FA24" w14:textId="77777777" w:rsidR="00712CF5" w:rsidRDefault="00787E6B">
      <w:pPr>
        <w:pStyle w:val="Heading2"/>
        <w:numPr>
          <w:ilvl w:val="1"/>
          <w:numId w:val="3"/>
        </w:numPr>
        <w:tabs>
          <w:tab w:val="left" w:pos="556"/>
        </w:tabs>
        <w:spacing w:line="237" w:lineRule="auto"/>
        <w:ind w:left="140" w:right="140" w:firstLine="0"/>
      </w:pPr>
      <w:r>
        <w:t>Posebne</w:t>
      </w:r>
      <w:r>
        <w:rPr>
          <w:spacing w:val="25"/>
        </w:rPr>
        <w:t xml:space="preserve"> </w:t>
      </w:r>
      <w:r>
        <w:t>mere opreza pri odlaganju</w:t>
      </w:r>
      <w:r>
        <w:rPr>
          <w:spacing w:val="27"/>
        </w:rPr>
        <w:t xml:space="preserve"> </w:t>
      </w:r>
      <w:r>
        <w:t>materijala</w:t>
      </w:r>
      <w:r>
        <w:rPr>
          <w:spacing w:val="26"/>
        </w:rPr>
        <w:t xml:space="preserve"> </w:t>
      </w:r>
      <w:r>
        <w:t>koji</w:t>
      </w:r>
      <w:r>
        <w:rPr>
          <w:spacing w:val="24"/>
        </w:rPr>
        <w:t xml:space="preserve"> </w:t>
      </w:r>
      <w:r>
        <w:t>treba odbaciti</w:t>
      </w:r>
      <w:r>
        <w:rPr>
          <w:spacing w:val="26"/>
        </w:rPr>
        <w:t xml:space="preserve"> </w:t>
      </w:r>
      <w:r>
        <w:t>nakon</w:t>
      </w:r>
      <w:r>
        <w:rPr>
          <w:spacing w:val="25"/>
        </w:rPr>
        <w:t xml:space="preserve"> </w:t>
      </w:r>
      <w:r>
        <w:t>primene</w:t>
      </w:r>
      <w:r>
        <w:rPr>
          <w:spacing w:val="26"/>
        </w:rPr>
        <w:t xml:space="preserve"> </w:t>
      </w:r>
      <w:r>
        <w:t>leka (i druga uputstva za rukovanje lekom)</w:t>
      </w:r>
    </w:p>
    <w:p w14:paraId="5747FA25" w14:textId="77777777" w:rsidR="00712CF5" w:rsidRDefault="00787E6B">
      <w:pPr>
        <w:pStyle w:val="BodyText"/>
        <w:spacing w:before="251"/>
      </w:pPr>
      <w:r>
        <w:t>Svu neiskorišćenu</w:t>
      </w:r>
      <w:r>
        <w:rPr>
          <w:spacing w:val="27"/>
        </w:rPr>
        <w:t xml:space="preserve"> </w:t>
      </w:r>
      <w:r>
        <w:t>količinu</w:t>
      </w:r>
      <w:r>
        <w:rPr>
          <w:spacing w:val="27"/>
        </w:rPr>
        <w:t xml:space="preserve"> </w:t>
      </w:r>
      <w:r>
        <w:t>leka ili otpadnog</w:t>
      </w:r>
      <w:r>
        <w:rPr>
          <w:spacing w:val="27"/>
        </w:rPr>
        <w:t xml:space="preserve"> </w:t>
      </w:r>
      <w:r>
        <w:t>materijala nakon</w:t>
      </w:r>
      <w:r>
        <w:rPr>
          <w:spacing w:val="27"/>
        </w:rPr>
        <w:t xml:space="preserve"> </w:t>
      </w:r>
      <w:r>
        <w:t>njegove upotrebe treba ukloniti, uskladu sa važećim propisima.</w:t>
      </w:r>
    </w:p>
    <w:p w14:paraId="5747FA26" w14:textId="77777777" w:rsidR="00712CF5" w:rsidRDefault="00712CF5">
      <w:pPr>
        <w:pStyle w:val="BodyText"/>
        <w:spacing w:before="206"/>
        <w:ind w:left="0"/>
      </w:pPr>
    </w:p>
    <w:p w14:paraId="5747FA27" w14:textId="77777777" w:rsidR="00712CF5" w:rsidRDefault="00787E6B">
      <w:pPr>
        <w:pStyle w:val="Heading1"/>
        <w:numPr>
          <w:ilvl w:val="0"/>
          <w:numId w:val="3"/>
        </w:numPr>
        <w:tabs>
          <w:tab w:val="left" w:pos="365"/>
        </w:tabs>
        <w:ind w:left="365" w:hanging="225"/>
      </w:pPr>
      <w:r>
        <w:t>NOSILAC</w:t>
      </w:r>
      <w:r>
        <w:rPr>
          <w:spacing w:val="-8"/>
        </w:rPr>
        <w:t xml:space="preserve"> </w:t>
      </w:r>
      <w:r>
        <w:rPr>
          <w:spacing w:val="-2"/>
        </w:rPr>
        <w:t>DOZVOLE</w:t>
      </w:r>
    </w:p>
    <w:p w14:paraId="5747FA28" w14:textId="77777777" w:rsidR="00712CF5" w:rsidRDefault="00787E6B">
      <w:pPr>
        <w:pStyle w:val="BodyText"/>
        <w:spacing w:before="193"/>
      </w:pPr>
      <w:r>
        <w:t>PREDSTAVNIŠTVO</w:t>
      </w:r>
      <w:r>
        <w:rPr>
          <w:spacing w:val="-8"/>
        </w:rPr>
        <w:t xml:space="preserve"> </w:t>
      </w:r>
      <w:r>
        <w:t>NOBEL</w:t>
      </w:r>
      <w:r>
        <w:rPr>
          <w:spacing w:val="-6"/>
        </w:rPr>
        <w:t xml:space="preserve"> </w:t>
      </w:r>
      <w:r>
        <w:t>ILAC</w:t>
      </w:r>
      <w:r>
        <w:rPr>
          <w:spacing w:val="-6"/>
        </w:rPr>
        <w:t xml:space="preserve"> </w:t>
      </w:r>
      <w:r>
        <w:t>SANAYII</w:t>
      </w:r>
      <w:r>
        <w:rPr>
          <w:spacing w:val="-6"/>
        </w:rPr>
        <w:t xml:space="preserve"> </w:t>
      </w:r>
      <w:r>
        <w:t>VE</w:t>
      </w:r>
      <w:r>
        <w:rPr>
          <w:spacing w:val="-6"/>
        </w:rPr>
        <w:t xml:space="preserve"> </w:t>
      </w:r>
      <w:r>
        <w:t>TICARET</w:t>
      </w:r>
      <w:r>
        <w:rPr>
          <w:spacing w:val="-6"/>
        </w:rPr>
        <w:t xml:space="preserve"> </w:t>
      </w:r>
      <w:r>
        <w:t>AS</w:t>
      </w:r>
      <w:r>
        <w:rPr>
          <w:spacing w:val="-6"/>
        </w:rPr>
        <w:t xml:space="preserve"> </w:t>
      </w:r>
      <w:r>
        <w:t>BEOGRAD</w:t>
      </w:r>
      <w:r>
        <w:rPr>
          <w:spacing w:val="-6"/>
        </w:rPr>
        <w:t xml:space="preserve"> </w:t>
      </w:r>
      <w:r>
        <w:rPr>
          <w:spacing w:val="-2"/>
        </w:rPr>
        <w:t>(VRAČAR),</w:t>
      </w:r>
    </w:p>
    <w:p w14:paraId="5747FA29" w14:textId="77777777" w:rsidR="00712CF5" w:rsidRDefault="00787E6B">
      <w:pPr>
        <w:pStyle w:val="BodyText"/>
        <w:spacing w:before="2"/>
      </w:pPr>
      <w:r>
        <w:t>Brane</w:t>
      </w:r>
      <w:r>
        <w:rPr>
          <w:spacing w:val="-5"/>
        </w:rPr>
        <w:t xml:space="preserve"> </w:t>
      </w:r>
      <w:r>
        <w:t>Crnčevića</w:t>
      </w:r>
      <w:r>
        <w:rPr>
          <w:spacing w:val="-3"/>
        </w:rPr>
        <w:t xml:space="preserve"> </w:t>
      </w:r>
      <w:r>
        <w:t>5,</w:t>
      </w:r>
      <w:r>
        <w:rPr>
          <w:spacing w:val="-4"/>
        </w:rPr>
        <w:t xml:space="preserve"> </w:t>
      </w:r>
      <w:r>
        <w:rPr>
          <w:spacing w:val="-2"/>
        </w:rPr>
        <w:t>Beograd</w:t>
      </w:r>
    </w:p>
    <w:p w14:paraId="5747FA2A" w14:textId="77777777" w:rsidR="00712CF5" w:rsidRDefault="00712CF5">
      <w:pPr>
        <w:pStyle w:val="BodyText"/>
        <w:spacing w:before="204"/>
        <w:ind w:left="0"/>
      </w:pPr>
    </w:p>
    <w:p w14:paraId="5747FA2B" w14:textId="77777777" w:rsidR="00712CF5" w:rsidRDefault="00787E6B">
      <w:pPr>
        <w:pStyle w:val="Heading1"/>
        <w:numPr>
          <w:ilvl w:val="0"/>
          <w:numId w:val="3"/>
        </w:numPr>
        <w:tabs>
          <w:tab w:val="left" w:pos="360"/>
        </w:tabs>
        <w:ind w:left="360" w:hanging="220"/>
      </w:pPr>
      <w:r>
        <w:t>BROJ(EVI)</w:t>
      </w:r>
      <w:r>
        <w:rPr>
          <w:spacing w:val="-6"/>
        </w:rPr>
        <w:t xml:space="preserve"> </w:t>
      </w:r>
      <w:r>
        <w:t>DOZVOLE(A)</w:t>
      </w:r>
      <w:r>
        <w:rPr>
          <w:spacing w:val="-6"/>
        </w:rPr>
        <w:t xml:space="preserve"> </w:t>
      </w:r>
      <w:r>
        <w:t>ZA</w:t>
      </w:r>
      <w:r>
        <w:rPr>
          <w:spacing w:val="-6"/>
        </w:rPr>
        <w:t xml:space="preserve"> </w:t>
      </w:r>
      <w:r>
        <w:t>STAVLJANJE</w:t>
      </w:r>
      <w:r>
        <w:rPr>
          <w:spacing w:val="-6"/>
        </w:rPr>
        <w:t xml:space="preserve"> </w:t>
      </w:r>
      <w:r>
        <w:t>LEKA</w:t>
      </w:r>
      <w:r>
        <w:rPr>
          <w:spacing w:val="-6"/>
        </w:rPr>
        <w:t xml:space="preserve"> </w:t>
      </w:r>
      <w:r>
        <w:t>U</w:t>
      </w:r>
      <w:r>
        <w:rPr>
          <w:spacing w:val="-6"/>
        </w:rPr>
        <w:t xml:space="preserve"> </w:t>
      </w:r>
      <w:r>
        <w:rPr>
          <w:spacing w:val="-2"/>
        </w:rPr>
        <w:t>PROMET</w:t>
      </w:r>
    </w:p>
    <w:p w14:paraId="5747FA2C" w14:textId="77777777" w:rsidR="00712CF5" w:rsidRDefault="00787E6B">
      <w:pPr>
        <w:pStyle w:val="BodyText"/>
        <w:spacing w:before="193"/>
      </w:pPr>
      <w:r>
        <w:t>Broj</w:t>
      </w:r>
      <w:r>
        <w:rPr>
          <w:spacing w:val="-5"/>
        </w:rPr>
        <w:t xml:space="preserve"> </w:t>
      </w:r>
      <w:r>
        <w:t>dozvole:</w:t>
      </w:r>
      <w:r>
        <w:rPr>
          <w:spacing w:val="-5"/>
        </w:rPr>
        <w:t xml:space="preserve"> </w:t>
      </w:r>
      <w:r>
        <w:t>000461133</w:t>
      </w:r>
      <w:r>
        <w:rPr>
          <w:spacing w:val="-3"/>
        </w:rPr>
        <w:t xml:space="preserve"> </w:t>
      </w:r>
      <w:r>
        <w:rPr>
          <w:spacing w:val="-4"/>
        </w:rPr>
        <w:t>2023</w:t>
      </w:r>
    </w:p>
    <w:p w14:paraId="5747FA2D" w14:textId="77777777" w:rsidR="00712CF5" w:rsidRDefault="00712CF5">
      <w:pPr>
        <w:pStyle w:val="BodyText"/>
        <w:sectPr w:rsidR="00712CF5">
          <w:pgSz w:w="11910" w:h="16840"/>
          <w:pgMar w:top="820" w:right="992" w:bottom="1500" w:left="992" w:header="0" w:footer="1311" w:gutter="0"/>
          <w:cols w:space="720"/>
        </w:sectPr>
      </w:pPr>
    </w:p>
    <w:p w14:paraId="5747FA2E" w14:textId="77777777" w:rsidR="00712CF5" w:rsidRDefault="00787E6B">
      <w:pPr>
        <w:pStyle w:val="Heading1"/>
        <w:numPr>
          <w:ilvl w:val="0"/>
          <w:numId w:val="3"/>
        </w:numPr>
        <w:tabs>
          <w:tab w:val="left" w:pos="441"/>
        </w:tabs>
        <w:spacing w:before="81"/>
        <w:ind w:left="140" w:right="139" w:firstLine="0"/>
      </w:pPr>
      <w:r>
        <w:lastRenderedPageBreak/>
        <w:t>DATUM</w:t>
      </w:r>
      <w:r>
        <w:rPr>
          <w:spacing w:val="75"/>
        </w:rPr>
        <w:t xml:space="preserve"> </w:t>
      </w:r>
      <w:r>
        <w:t>PRVE</w:t>
      </w:r>
      <w:r>
        <w:rPr>
          <w:spacing w:val="74"/>
        </w:rPr>
        <w:t xml:space="preserve"> </w:t>
      </w:r>
      <w:r>
        <w:t>DOZVOLE</w:t>
      </w:r>
      <w:r>
        <w:rPr>
          <w:spacing w:val="71"/>
        </w:rPr>
        <w:t xml:space="preserve"> </w:t>
      </w:r>
      <w:r>
        <w:t>I</w:t>
      </w:r>
      <w:r>
        <w:rPr>
          <w:spacing w:val="76"/>
        </w:rPr>
        <w:t xml:space="preserve"> </w:t>
      </w:r>
      <w:r>
        <w:t>DATUM</w:t>
      </w:r>
      <w:r>
        <w:rPr>
          <w:spacing w:val="75"/>
        </w:rPr>
        <w:t xml:space="preserve"> </w:t>
      </w:r>
      <w:r>
        <w:t>OBNOVE</w:t>
      </w:r>
      <w:r>
        <w:rPr>
          <w:spacing w:val="75"/>
        </w:rPr>
        <w:t xml:space="preserve"> </w:t>
      </w:r>
      <w:r>
        <w:t>DOZVOLE</w:t>
      </w:r>
      <w:r>
        <w:rPr>
          <w:spacing w:val="77"/>
        </w:rPr>
        <w:t xml:space="preserve"> </w:t>
      </w:r>
      <w:r>
        <w:t>ZA</w:t>
      </w:r>
      <w:r>
        <w:rPr>
          <w:spacing w:val="74"/>
        </w:rPr>
        <w:t xml:space="preserve"> </w:t>
      </w:r>
      <w:r>
        <w:t>STAVLJANJE</w:t>
      </w:r>
      <w:r>
        <w:rPr>
          <w:spacing w:val="71"/>
        </w:rPr>
        <w:t xml:space="preserve"> </w:t>
      </w:r>
      <w:r>
        <w:t>LEKA</w:t>
      </w:r>
      <w:r>
        <w:rPr>
          <w:spacing w:val="76"/>
        </w:rPr>
        <w:t xml:space="preserve"> </w:t>
      </w:r>
      <w:r>
        <w:t xml:space="preserve">U </w:t>
      </w:r>
      <w:r>
        <w:rPr>
          <w:spacing w:val="-2"/>
        </w:rPr>
        <w:t>PROMET</w:t>
      </w:r>
    </w:p>
    <w:p w14:paraId="5747FA2F" w14:textId="77777777" w:rsidR="00712CF5" w:rsidRDefault="00787E6B">
      <w:pPr>
        <w:pStyle w:val="BodyText"/>
        <w:spacing w:before="195"/>
      </w:pPr>
      <w:r>
        <w:t>Datum</w:t>
      </w:r>
      <w:r>
        <w:rPr>
          <w:spacing w:val="-6"/>
        </w:rPr>
        <w:t xml:space="preserve"> </w:t>
      </w:r>
      <w:r>
        <w:t>prve</w:t>
      </w:r>
      <w:r>
        <w:rPr>
          <w:spacing w:val="-6"/>
        </w:rPr>
        <w:t xml:space="preserve"> </w:t>
      </w:r>
      <w:r>
        <w:t>dozvole:</w:t>
      </w:r>
      <w:r>
        <w:rPr>
          <w:spacing w:val="-3"/>
        </w:rPr>
        <w:t xml:space="preserve"> </w:t>
      </w:r>
      <w:r>
        <w:rPr>
          <w:spacing w:val="-2"/>
        </w:rPr>
        <w:t>18.09.2024.</w:t>
      </w:r>
    </w:p>
    <w:p w14:paraId="5747FA30" w14:textId="77777777" w:rsidR="00712CF5" w:rsidRDefault="00787E6B">
      <w:pPr>
        <w:pStyle w:val="Heading1"/>
        <w:numPr>
          <w:ilvl w:val="0"/>
          <w:numId w:val="3"/>
        </w:numPr>
        <w:tabs>
          <w:tab w:val="left" w:pos="468"/>
        </w:tabs>
        <w:spacing w:before="207"/>
        <w:ind w:left="468" w:hanging="328"/>
      </w:pPr>
      <w:r>
        <w:t>DATUM</w:t>
      </w:r>
      <w:r>
        <w:rPr>
          <w:spacing w:val="-7"/>
        </w:rPr>
        <w:t xml:space="preserve"> </w:t>
      </w:r>
      <w:r>
        <w:t>REVIZIJE</w:t>
      </w:r>
      <w:r>
        <w:rPr>
          <w:spacing w:val="-6"/>
        </w:rPr>
        <w:t xml:space="preserve"> </w:t>
      </w:r>
      <w:r>
        <w:rPr>
          <w:spacing w:val="-2"/>
        </w:rPr>
        <w:t>TEKSTA</w:t>
      </w:r>
    </w:p>
    <w:p w14:paraId="5747FA31" w14:textId="77777777" w:rsidR="00712CF5" w:rsidRDefault="00787E6B">
      <w:pPr>
        <w:pStyle w:val="BodyText"/>
        <w:spacing w:before="194"/>
      </w:pPr>
      <w:r>
        <w:t>Septembar,</w:t>
      </w:r>
      <w:r>
        <w:rPr>
          <w:spacing w:val="-5"/>
        </w:rPr>
        <w:t xml:space="preserve"> </w:t>
      </w:r>
      <w:r>
        <w:rPr>
          <w:spacing w:val="-2"/>
        </w:rPr>
        <w:t>2024.</w:t>
      </w:r>
    </w:p>
    <w:sectPr w:rsidR="00712CF5">
      <w:pgSz w:w="11910" w:h="16840"/>
      <w:pgMar w:top="1260" w:right="992" w:bottom="1500" w:left="992" w:header="0" w:footer="1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A31B9" w14:textId="77777777" w:rsidR="00545AB4" w:rsidRDefault="00545AB4">
      <w:r>
        <w:separator/>
      </w:r>
    </w:p>
  </w:endnote>
  <w:endnote w:type="continuationSeparator" w:id="0">
    <w:p w14:paraId="76449E45" w14:textId="77777777" w:rsidR="00545AB4" w:rsidRDefault="0054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FA32" w14:textId="77777777" w:rsidR="00712CF5" w:rsidRDefault="00787E6B">
    <w:pPr>
      <w:pStyle w:val="BodyText"/>
      <w:spacing w:line="14" w:lineRule="auto"/>
      <w:ind w:left="0"/>
      <w:rPr>
        <w:sz w:val="20"/>
      </w:rPr>
    </w:pPr>
    <w:r>
      <w:rPr>
        <w:noProof/>
        <w:sz w:val="20"/>
      </w:rPr>
      <mc:AlternateContent>
        <mc:Choice Requires="wps">
          <w:drawing>
            <wp:anchor distT="0" distB="0" distL="0" distR="0" simplePos="0" relativeHeight="487253504" behindDoc="1" locked="0" layoutInCell="1" allowOverlap="1" wp14:anchorId="5747FA33" wp14:editId="5747FA34">
              <wp:simplePos x="0" y="0"/>
              <wp:positionH relativeFrom="page">
                <wp:posOffset>3565652</wp:posOffset>
              </wp:positionH>
              <wp:positionV relativeFrom="page">
                <wp:posOffset>9719551</wp:posOffset>
              </wp:positionV>
              <wp:extent cx="42799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990" cy="153670"/>
                      </a:xfrm>
                      <a:prstGeom prst="rect">
                        <a:avLst/>
                      </a:prstGeom>
                    </wps:spPr>
                    <wps:txbx>
                      <w:txbxContent>
                        <w:p w14:paraId="5747FA35" w14:textId="77777777" w:rsidR="00712CF5" w:rsidRDefault="00787E6B">
                          <w:pPr>
                            <w:spacing w:before="14"/>
                            <w:ind w:left="20"/>
                            <w:rPr>
                              <w:sz w:val="18"/>
                            </w:rPr>
                          </w:pP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3"/>
                              <w:sz w:val="18"/>
                            </w:rPr>
                            <w:t xml:space="preserve"> </w:t>
                          </w:r>
                          <w:r>
                            <w:rPr>
                              <w:sz w:val="18"/>
                            </w:rPr>
                            <w:t>od</w:t>
                          </w:r>
                          <w:r>
                            <w:rPr>
                              <w:spacing w:val="-5"/>
                              <w:sz w:val="18"/>
                            </w:rPr>
                            <w:t xml:space="preserve"> </w:t>
                          </w:r>
                          <w:r>
                            <w:rPr>
                              <w:spacing w:val="-7"/>
                              <w:sz w:val="18"/>
                            </w:rPr>
                            <w:fldChar w:fldCharType="begin"/>
                          </w:r>
                          <w:r>
                            <w:rPr>
                              <w:spacing w:val="-7"/>
                              <w:sz w:val="18"/>
                            </w:rPr>
                            <w:instrText xml:space="preserve"> NUMPAGES </w:instrText>
                          </w:r>
                          <w:r>
                            <w:rPr>
                              <w:spacing w:val="-7"/>
                              <w:sz w:val="18"/>
                            </w:rPr>
                            <w:fldChar w:fldCharType="separate"/>
                          </w:r>
                          <w:r>
                            <w:rPr>
                              <w:spacing w:val="-7"/>
                              <w:sz w:val="18"/>
                            </w:rPr>
                            <w:t>16</w:t>
                          </w:r>
                          <w:r>
                            <w:rPr>
                              <w:spacing w:val="-7"/>
                              <w:sz w:val="18"/>
                            </w:rPr>
                            <w:fldChar w:fldCharType="end"/>
                          </w:r>
                        </w:p>
                      </w:txbxContent>
                    </wps:txbx>
                    <wps:bodyPr wrap="square" lIns="0" tIns="0" rIns="0" bIns="0" rtlCol="0">
                      <a:noAutofit/>
                    </wps:bodyPr>
                  </wps:wsp>
                </a:graphicData>
              </a:graphic>
            </wp:anchor>
          </w:drawing>
        </mc:Choice>
        <mc:Fallback>
          <w:pict>
            <v:shapetype w14:anchorId="5747FA33" id="_x0000_t202" coordsize="21600,21600" o:spt="202" path="m,l,21600r21600,l21600,xe">
              <v:stroke joinstyle="miter"/>
              <v:path gradientshapeok="t" o:connecttype="rect"/>
            </v:shapetype>
            <v:shape id="Textbox 1" o:spid="_x0000_s1026" type="#_x0000_t202" style="position:absolute;margin-left:280.75pt;margin-top:765.3pt;width:33.7pt;height:12.1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" filled="f" stroked="f">
              <v:textbox inset="0,0,0,0">
                <w:txbxContent>
                  <w:p w14:paraId="5747FA35" w14:textId="77777777" w:rsidR="00712CF5" w:rsidRDefault="00787E6B">
                    <w:pPr>
                      <w:spacing w:before="14"/>
                      <w:ind w:left="20"/>
                      <w:rPr>
                        <w:sz w:val="18"/>
                      </w:rPr>
                    </w:pP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3"/>
                        <w:sz w:val="18"/>
                      </w:rPr>
                      <w:t xml:space="preserve"> </w:t>
                    </w:r>
                    <w:r>
                      <w:rPr>
                        <w:sz w:val="18"/>
                      </w:rPr>
                      <w:t>od</w:t>
                    </w:r>
                    <w:r>
                      <w:rPr>
                        <w:spacing w:val="-5"/>
                        <w:sz w:val="18"/>
                      </w:rPr>
                      <w:t xml:space="preserve"> </w:t>
                    </w:r>
                    <w:r>
                      <w:rPr>
                        <w:spacing w:val="-7"/>
                        <w:sz w:val="18"/>
                      </w:rPr>
                      <w:fldChar w:fldCharType="begin"/>
                    </w:r>
                    <w:r>
                      <w:rPr>
                        <w:spacing w:val="-7"/>
                        <w:sz w:val="18"/>
                      </w:rPr>
                      <w:instrText xml:space="preserve"> NUMPAGES </w:instrText>
                    </w:r>
                    <w:r>
                      <w:rPr>
                        <w:spacing w:val="-7"/>
                        <w:sz w:val="18"/>
                      </w:rPr>
                      <w:fldChar w:fldCharType="separate"/>
                    </w:r>
                    <w:r>
                      <w:rPr>
                        <w:spacing w:val="-7"/>
                        <w:sz w:val="18"/>
                      </w:rPr>
                      <w:t>16</w:t>
                    </w:r>
                    <w:r>
                      <w:rPr>
                        <w:spacing w:val="-7"/>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DCCB" w14:textId="77777777" w:rsidR="00545AB4" w:rsidRDefault="00545AB4">
      <w:r>
        <w:separator/>
      </w:r>
    </w:p>
  </w:footnote>
  <w:footnote w:type="continuationSeparator" w:id="0">
    <w:p w14:paraId="424B09DA" w14:textId="77777777" w:rsidR="00545AB4" w:rsidRDefault="00545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C02E5"/>
    <w:multiLevelType w:val="hybridMultilevel"/>
    <w:tmpl w:val="99FE32B2"/>
    <w:lvl w:ilvl="0" w:tplc="4A0E9106">
      <w:numFmt w:val="bullet"/>
      <w:lvlText w:val="•"/>
      <w:lvlJc w:val="left"/>
      <w:pPr>
        <w:ind w:left="140" w:hanging="284"/>
      </w:pPr>
      <w:rPr>
        <w:rFonts w:ascii="Times New Roman" w:eastAsia="Times New Roman" w:hAnsi="Times New Roman" w:cs="Times New Roman" w:hint="default"/>
        <w:b w:val="0"/>
        <w:bCs w:val="0"/>
        <w:i w:val="0"/>
        <w:iCs w:val="0"/>
        <w:spacing w:val="0"/>
        <w:w w:val="100"/>
        <w:sz w:val="22"/>
        <w:szCs w:val="22"/>
        <w:lang w:val="bs" w:eastAsia="en-US" w:bidi="ar-SA"/>
      </w:rPr>
    </w:lvl>
    <w:lvl w:ilvl="1" w:tplc="2166D03C">
      <w:numFmt w:val="bullet"/>
      <w:lvlText w:val="•"/>
      <w:lvlJc w:val="left"/>
      <w:pPr>
        <w:ind w:left="1118" w:hanging="284"/>
      </w:pPr>
      <w:rPr>
        <w:rFonts w:hint="default"/>
        <w:lang w:val="bs" w:eastAsia="en-US" w:bidi="ar-SA"/>
      </w:rPr>
    </w:lvl>
    <w:lvl w:ilvl="2" w:tplc="17EC19E2">
      <w:numFmt w:val="bullet"/>
      <w:lvlText w:val="•"/>
      <w:lvlJc w:val="left"/>
      <w:pPr>
        <w:ind w:left="2096" w:hanging="284"/>
      </w:pPr>
      <w:rPr>
        <w:rFonts w:hint="default"/>
        <w:lang w:val="bs" w:eastAsia="en-US" w:bidi="ar-SA"/>
      </w:rPr>
    </w:lvl>
    <w:lvl w:ilvl="3" w:tplc="37C4CDC0">
      <w:numFmt w:val="bullet"/>
      <w:lvlText w:val="•"/>
      <w:lvlJc w:val="left"/>
      <w:pPr>
        <w:ind w:left="3074" w:hanging="284"/>
      </w:pPr>
      <w:rPr>
        <w:rFonts w:hint="default"/>
        <w:lang w:val="bs" w:eastAsia="en-US" w:bidi="ar-SA"/>
      </w:rPr>
    </w:lvl>
    <w:lvl w:ilvl="4" w:tplc="DC6E2A6C">
      <w:numFmt w:val="bullet"/>
      <w:lvlText w:val="•"/>
      <w:lvlJc w:val="left"/>
      <w:pPr>
        <w:ind w:left="4052" w:hanging="284"/>
      </w:pPr>
      <w:rPr>
        <w:rFonts w:hint="default"/>
        <w:lang w:val="bs" w:eastAsia="en-US" w:bidi="ar-SA"/>
      </w:rPr>
    </w:lvl>
    <w:lvl w:ilvl="5" w:tplc="C0FE573E">
      <w:numFmt w:val="bullet"/>
      <w:lvlText w:val="•"/>
      <w:lvlJc w:val="left"/>
      <w:pPr>
        <w:ind w:left="5030" w:hanging="284"/>
      </w:pPr>
      <w:rPr>
        <w:rFonts w:hint="default"/>
        <w:lang w:val="bs" w:eastAsia="en-US" w:bidi="ar-SA"/>
      </w:rPr>
    </w:lvl>
    <w:lvl w:ilvl="6" w:tplc="3866025A">
      <w:numFmt w:val="bullet"/>
      <w:lvlText w:val="•"/>
      <w:lvlJc w:val="left"/>
      <w:pPr>
        <w:ind w:left="6008" w:hanging="284"/>
      </w:pPr>
      <w:rPr>
        <w:rFonts w:hint="default"/>
        <w:lang w:val="bs" w:eastAsia="en-US" w:bidi="ar-SA"/>
      </w:rPr>
    </w:lvl>
    <w:lvl w:ilvl="7" w:tplc="83D63A3E">
      <w:numFmt w:val="bullet"/>
      <w:lvlText w:val="•"/>
      <w:lvlJc w:val="left"/>
      <w:pPr>
        <w:ind w:left="6987" w:hanging="284"/>
      </w:pPr>
      <w:rPr>
        <w:rFonts w:hint="default"/>
        <w:lang w:val="bs" w:eastAsia="en-US" w:bidi="ar-SA"/>
      </w:rPr>
    </w:lvl>
    <w:lvl w:ilvl="8" w:tplc="D390F030">
      <w:numFmt w:val="bullet"/>
      <w:lvlText w:val="•"/>
      <w:lvlJc w:val="left"/>
      <w:pPr>
        <w:ind w:left="7965" w:hanging="284"/>
      </w:pPr>
      <w:rPr>
        <w:rFonts w:hint="default"/>
        <w:lang w:val="bs" w:eastAsia="en-US" w:bidi="ar-SA"/>
      </w:rPr>
    </w:lvl>
  </w:abstractNum>
  <w:abstractNum w:abstractNumId="1" w15:restartNumberingAfterBreak="0">
    <w:nsid w:val="3F7B0AF5"/>
    <w:multiLevelType w:val="multilevel"/>
    <w:tmpl w:val="6D584A7E"/>
    <w:lvl w:ilvl="0">
      <w:start w:val="1"/>
      <w:numFmt w:val="decimal"/>
      <w:lvlText w:val="%1."/>
      <w:lvlJc w:val="left"/>
      <w:pPr>
        <w:ind w:left="362" w:hanging="222"/>
        <w:jc w:val="left"/>
      </w:pPr>
      <w:rPr>
        <w:rFonts w:ascii="Times New Roman" w:eastAsia="Times New Roman" w:hAnsi="Times New Roman" w:cs="Times New Roman" w:hint="default"/>
        <w:b/>
        <w:bCs/>
        <w:i w:val="0"/>
        <w:iCs w:val="0"/>
        <w:spacing w:val="0"/>
        <w:w w:val="100"/>
        <w:sz w:val="22"/>
        <w:szCs w:val="22"/>
        <w:lang w:val="bs" w:eastAsia="en-US" w:bidi="ar-SA"/>
      </w:rPr>
    </w:lvl>
    <w:lvl w:ilvl="1">
      <w:start w:val="1"/>
      <w:numFmt w:val="decimal"/>
      <w:lvlText w:val="%1.%2."/>
      <w:lvlJc w:val="left"/>
      <w:pPr>
        <w:ind w:left="524" w:hanging="384"/>
        <w:jc w:val="left"/>
      </w:pPr>
      <w:rPr>
        <w:rFonts w:ascii="Times New Roman" w:eastAsia="Times New Roman" w:hAnsi="Times New Roman" w:cs="Times New Roman" w:hint="default"/>
        <w:b/>
        <w:bCs/>
        <w:i w:val="0"/>
        <w:iCs w:val="0"/>
        <w:spacing w:val="-1"/>
        <w:w w:val="98"/>
        <w:sz w:val="22"/>
        <w:szCs w:val="22"/>
        <w:lang w:val="bs" w:eastAsia="en-US" w:bidi="ar-SA"/>
      </w:rPr>
    </w:lvl>
    <w:lvl w:ilvl="2">
      <w:numFmt w:val="bullet"/>
      <w:lvlText w:val="•"/>
      <w:lvlJc w:val="left"/>
      <w:pPr>
        <w:ind w:left="1564" w:hanging="384"/>
      </w:pPr>
      <w:rPr>
        <w:rFonts w:hint="default"/>
        <w:lang w:val="bs" w:eastAsia="en-US" w:bidi="ar-SA"/>
      </w:rPr>
    </w:lvl>
    <w:lvl w:ilvl="3">
      <w:numFmt w:val="bullet"/>
      <w:lvlText w:val="•"/>
      <w:lvlJc w:val="left"/>
      <w:pPr>
        <w:ind w:left="2609" w:hanging="384"/>
      </w:pPr>
      <w:rPr>
        <w:rFonts w:hint="default"/>
        <w:lang w:val="bs" w:eastAsia="en-US" w:bidi="ar-SA"/>
      </w:rPr>
    </w:lvl>
    <w:lvl w:ilvl="4">
      <w:numFmt w:val="bullet"/>
      <w:lvlText w:val="•"/>
      <w:lvlJc w:val="left"/>
      <w:pPr>
        <w:ind w:left="3653" w:hanging="384"/>
      </w:pPr>
      <w:rPr>
        <w:rFonts w:hint="default"/>
        <w:lang w:val="bs" w:eastAsia="en-US" w:bidi="ar-SA"/>
      </w:rPr>
    </w:lvl>
    <w:lvl w:ilvl="5">
      <w:numFmt w:val="bullet"/>
      <w:lvlText w:val="•"/>
      <w:lvlJc w:val="left"/>
      <w:pPr>
        <w:ind w:left="4698" w:hanging="384"/>
      </w:pPr>
      <w:rPr>
        <w:rFonts w:hint="default"/>
        <w:lang w:val="bs" w:eastAsia="en-US" w:bidi="ar-SA"/>
      </w:rPr>
    </w:lvl>
    <w:lvl w:ilvl="6">
      <w:numFmt w:val="bullet"/>
      <w:lvlText w:val="•"/>
      <w:lvlJc w:val="left"/>
      <w:pPr>
        <w:ind w:left="5743" w:hanging="384"/>
      </w:pPr>
      <w:rPr>
        <w:rFonts w:hint="default"/>
        <w:lang w:val="bs" w:eastAsia="en-US" w:bidi="ar-SA"/>
      </w:rPr>
    </w:lvl>
    <w:lvl w:ilvl="7">
      <w:numFmt w:val="bullet"/>
      <w:lvlText w:val="•"/>
      <w:lvlJc w:val="left"/>
      <w:pPr>
        <w:ind w:left="6787" w:hanging="384"/>
      </w:pPr>
      <w:rPr>
        <w:rFonts w:hint="default"/>
        <w:lang w:val="bs" w:eastAsia="en-US" w:bidi="ar-SA"/>
      </w:rPr>
    </w:lvl>
    <w:lvl w:ilvl="8">
      <w:numFmt w:val="bullet"/>
      <w:lvlText w:val="•"/>
      <w:lvlJc w:val="left"/>
      <w:pPr>
        <w:ind w:left="7832" w:hanging="384"/>
      </w:pPr>
      <w:rPr>
        <w:rFonts w:hint="default"/>
        <w:lang w:val="bs" w:eastAsia="en-US" w:bidi="ar-SA"/>
      </w:rPr>
    </w:lvl>
  </w:abstractNum>
  <w:abstractNum w:abstractNumId="2" w15:restartNumberingAfterBreak="0">
    <w:nsid w:val="7F0F2B8F"/>
    <w:multiLevelType w:val="hybridMultilevel"/>
    <w:tmpl w:val="E39C6538"/>
    <w:lvl w:ilvl="0" w:tplc="87C2922E">
      <w:numFmt w:val="bullet"/>
      <w:lvlText w:val="•"/>
      <w:lvlJc w:val="left"/>
      <w:pPr>
        <w:ind w:left="140" w:hanging="284"/>
      </w:pPr>
      <w:rPr>
        <w:rFonts w:ascii="Times New Roman" w:eastAsia="Times New Roman" w:hAnsi="Times New Roman" w:cs="Times New Roman" w:hint="default"/>
        <w:b w:val="0"/>
        <w:bCs w:val="0"/>
        <w:i w:val="0"/>
        <w:iCs w:val="0"/>
        <w:spacing w:val="0"/>
        <w:w w:val="100"/>
        <w:sz w:val="22"/>
        <w:szCs w:val="22"/>
        <w:lang w:val="bs" w:eastAsia="en-US" w:bidi="ar-SA"/>
      </w:rPr>
    </w:lvl>
    <w:lvl w:ilvl="1" w:tplc="731EA82C">
      <w:numFmt w:val="bullet"/>
      <w:lvlText w:val="•"/>
      <w:lvlJc w:val="left"/>
      <w:pPr>
        <w:ind w:left="1118" w:hanging="284"/>
      </w:pPr>
      <w:rPr>
        <w:rFonts w:hint="default"/>
        <w:lang w:val="bs" w:eastAsia="en-US" w:bidi="ar-SA"/>
      </w:rPr>
    </w:lvl>
    <w:lvl w:ilvl="2" w:tplc="33884D2A">
      <w:numFmt w:val="bullet"/>
      <w:lvlText w:val="•"/>
      <w:lvlJc w:val="left"/>
      <w:pPr>
        <w:ind w:left="2096" w:hanging="284"/>
      </w:pPr>
      <w:rPr>
        <w:rFonts w:hint="default"/>
        <w:lang w:val="bs" w:eastAsia="en-US" w:bidi="ar-SA"/>
      </w:rPr>
    </w:lvl>
    <w:lvl w:ilvl="3" w:tplc="C1F42F2C">
      <w:numFmt w:val="bullet"/>
      <w:lvlText w:val="•"/>
      <w:lvlJc w:val="left"/>
      <w:pPr>
        <w:ind w:left="3074" w:hanging="284"/>
      </w:pPr>
      <w:rPr>
        <w:rFonts w:hint="default"/>
        <w:lang w:val="bs" w:eastAsia="en-US" w:bidi="ar-SA"/>
      </w:rPr>
    </w:lvl>
    <w:lvl w:ilvl="4" w:tplc="12907256">
      <w:numFmt w:val="bullet"/>
      <w:lvlText w:val="•"/>
      <w:lvlJc w:val="left"/>
      <w:pPr>
        <w:ind w:left="4052" w:hanging="284"/>
      </w:pPr>
      <w:rPr>
        <w:rFonts w:hint="default"/>
        <w:lang w:val="bs" w:eastAsia="en-US" w:bidi="ar-SA"/>
      </w:rPr>
    </w:lvl>
    <w:lvl w:ilvl="5" w:tplc="B9EAC4D8">
      <w:numFmt w:val="bullet"/>
      <w:lvlText w:val="•"/>
      <w:lvlJc w:val="left"/>
      <w:pPr>
        <w:ind w:left="5030" w:hanging="284"/>
      </w:pPr>
      <w:rPr>
        <w:rFonts w:hint="default"/>
        <w:lang w:val="bs" w:eastAsia="en-US" w:bidi="ar-SA"/>
      </w:rPr>
    </w:lvl>
    <w:lvl w:ilvl="6" w:tplc="20BE748E">
      <w:numFmt w:val="bullet"/>
      <w:lvlText w:val="•"/>
      <w:lvlJc w:val="left"/>
      <w:pPr>
        <w:ind w:left="6008" w:hanging="284"/>
      </w:pPr>
      <w:rPr>
        <w:rFonts w:hint="default"/>
        <w:lang w:val="bs" w:eastAsia="en-US" w:bidi="ar-SA"/>
      </w:rPr>
    </w:lvl>
    <w:lvl w:ilvl="7" w:tplc="FCCA9CAE">
      <w:numFmt w:val="bullet"/>
      <w:lvlText w:val="•"/>
      <w:lvlJc w:val="left"/>
      <w:pPr>
        <w:ind w:left="6987" w:hanging="284"/>
      </w:pPr>
      <w:rPr>
        <w:rFonts w:hint="default"/>
        <w:lang w:val="bs" w:eastAsia="en-US" w:bidi="ar-SA"/>
      </w:rPr>
    </w:lvl>
    <w:lvl w:ilvl="8" w:tplc="4F7814CE">
      <w:numFmt w:val="bullet"/>
      <w:lvlText w:val="•"/>
      <w:lvlJc w:val="left"/>
      <w:pPr>
        <w:ind w:left="7965" w:hanging="284"/>
      </w:pPr>
      <w:rPr>
        <w:rFonts w:hint="default"/>
        <w:lang w:val="bs" w:eastAsia="en-US" w:bidi="ar-SA"/>
      </w:rPr>
    </w:lvl>
  </w:abstractNum>
  <w:num w:numId="1" w16cid:durableId="555549155">
    <w:abstractNumId w:val="2"/>
  </w:num>
  <w:num w:numId="2" w16cid:durableId="60711135">
    <w:abstractNumId w:val="0"/>
  </w:num>
  <w:num w:numId="3" w16cid:durableId="1613053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F5"/>
    <w:rsid w:val="00084491"/>
    <w:rsid w:val="00115E0B"/>
    <w:rsid w:val="00132422"/>
    <w:rsid w:val="001A5034"/>
    <w:rsid w:val="002D2C99"/>
    <w:rsid w:val="00344A18"/>
    <w:rsid w:val="00371A0E"/>
    <w:rsid w:val="00425E0C"/>
    <w:rsid w:val="004D050A"/>
    <w:rsid w:val="00545AB4"/>
    <w:rsid w:val="005D7067"/>
    <w:rsid w:val="005E16BC"/>
    <w:rsid w:val="00635D6A"/>
    <w:rsid w:val="006670C6"/>
    <w:rsid w:val="006A6C3B"/>
    <w:rsid w:val="006F6F38"/>
    <w:rsid w:val="00712CF5"/>
    <w:rsid w:val="00787E6B"/>
    <w:rsid w:val="008124AA"/>
    <w:rsid w:val="00893387"/>
    <w:rsid w:val="008E04F0"/>
    <w:rsid w:val="009021FD"/>
    <w:rsid w:val="00932789"/>
    <w:rsid w:val="00977D96"/>
    <w:rsid w:val="009873CE"/>
    <w:rsid w:val="00A37C30"/>
    <w:rsid w:val="00A86437"/>
    <w:rsid w:val="00B92774"/>
    <w:rsid w:val="00BC7B9D"/>
    <w:rsid w:val="00C6515C"/>
    <w:rsid w:val="00CC1CDA"/>
    <w:rsid w:val="00D7230A"/>
    <w:rsid w:val="00DF4BF0"/>
    <w:rsid w:val="00E26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F85F"/>
  <w15:docId w15:val="{6C004C2E-FD9C-4CC8-9E86-46714185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s"/>
    </w:rPr>
  </w:style>
  <w:style w:type="paragraph" w:styleId="Heading1">
    <w:name w:val="heading 1"/>
    <w:basedOn w:val="Normal"/>
    <w:uiPriority w:val="9"/>
    <w:qFormat/>
    <w:pPr>
      <w:ind w:left="358" w:hanging="218"/>
      <w:outlineLvl w:val="0"/>
    </w:pPr>
    <w:rPr>
      <w:b/>
      <w:bCs/>
    </w:rPr>
  </w:style>
  <w:style w:type="paragraph" w:styleId="Heading2">
    <w:name w:val="heading 2"/>
    <w:basedOn w:val="Normal"/>
    <w:uiPriority w:val="9"/>
    <w:unhideWhenUsed/>
    <w:qFormat/>
    <w:pPr>
      <w:ind w:left="52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ListParagraph">
    <w:name w:val="List Paragraph"/>
    <w:basedOn w:val="Normal"/>
    <w:uiPriority w:val="1"/>
    <w:qFormat/>
    <w:pPr>
      <w:ind w:left="522" w:hanging="382"/>
    </w:pPr>
  </w:style>
  <w:style w:type="paragraph" w:customStyle="1" w:styleId="TableParagraph">
    <w:name w:val="Table Paragraph"/>
    <w:basedOn w:val="Normal"/>
    <w:uiPriority w:val="1"/>
    <w:qFormat/>
    <w:pPr>
      <w:spacing w:line="244" w:lineRule="exact"/>
      <w:ind w:left="4"/>
    </w:pPr>
  </w:style>
  <w:style w:type="paragraph" w:styleId="Revision">
    <w:name w:val="Revision"/>
    <w:hidden/>
    <w:uiPriority w:val="99"/>
    <w:semiHidden/>
    <w:rsid w:val="00E26E19"/>
    <w:pPr>
      <w:widowControl/>
      <w:autoSpaceDE/>
      <w:autoSpaceDN/>
    </w:pPr>
    <w:rPr>
      <w:rFonts w:ascii="Times New Roman" w:eastAsia="Times New Roman" w:hAnsi="Times New Roman" w:cs="Times New Roman"/>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lims.gov.rs/"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zeljene.reakcije@alim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6459</Words>
  <Characters>39662</Characters>
  <Application>Microsoft Office Word</Application>
  <DocSecurity>0</DocSecurity>
  <Lines>793</Lines>
  <Paragraphs>397</Paragraphs>
  <ScaleCrop>false</ScaleCrop>
  <Company/>
  <LinksUpToDate>false</LinksUpToDate>
  <CharactersWithSpaces>45724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Danica MITROVIĆ</cp:lastModifiedBy>
  <cp:revision>4</cp:revision>
  <cp:lastPrinted>2025-11-05T09:46:00Z</cp:lastPrinted>
  <dcterms:created xsi:type="dcterms:W3CDTF">2025-12-29T11:24:00Z</dcterms:created>
  <dcterms:modified xsi:type="dcterms:W3CDTF">2025-12-29T11:32:00Z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Word(14.0)</vt:lpwstr>
  </property>
  <property fmtid="{D5CDD505-2E9C-101B-9397-08002B2CF9AE}" pid="4" name="LastSaved">
    <vt:filetime>2025-11-04T00:00:00Z</vt:filetime>
  </property>
  <property fmtid="{D5CDD505-2E9C-101B-9397-08002B2CF9AE}" pid="5" name="Producer">
    <vt:lpwstr>www.adlibsoftware.com: CTP (5.4.4.43426) OS (Windows 2008 R2,1,1,64)</vt:lpwstr>
  </property>
  <property fmtid="{D5CDD505-2E9C-101B-9397-08002B2CF9AE}" pid="6" name="MSIP_Label_56ed5bf2-0776-40a4-adb3-b6e932de19b6_Enabled">
    <vt:lpwstr>true</vt:lpwstr>
  </property>
  <property fmtid="{D5CDD505-2E9C-101B-9397-08002B2CF9AE}" pid="7" name="MSIP_Label_56ed5bf2-0776-40a4-adb3-b6e932de19b6_SetDate">
    <vt:lpwstr>2025-11-04T14:08:31Z</vt:lpwstr>
  </property>
  <property fmtid="{D5CDD505-2E9C-101B-9397-08002B2CF9AE}" pid="8" name="MSIP_Label_56ed5bf2-0776-40a4-adb3-b6e932de19b6_Method">
    <vt:lpwstr>Standard</vt:lpwstr>
  </property>
  <property fmtid="{D5CDD505-2E9C-101B-9397-08002B2CF9AE}" pid="9" name="MSIP_Label_56ed5bf2-0776-40a4-adb3-b6e932de19b6_Name">
    <vt:lpwstr>Hizmete Özel (Restricted)</vt:lpwstr>
  </property>
  <property fmtid="{D5CDD505-2E9C-101B-9397-08002B2CF9AE}" pid="10" name="MSIP_Label_56ed5bf2-0776-40a4-adb3-b6e932de19b6_SiteId">
    <vt:lpwstr>9c6d9fad-373d-4490-9d9d-4ea4175cb82d</vt:lpwstr>
  </property>
  <property fmtid="{D5CDD505-2E9C-101B-9397-08002B2CF9AE}" pid="11" name="MSIP_Label_56ed5bf2-0776-40a4-adb3-b6e932de19b6_ActionId">
    <vt:lpwstr>cc31cca6-8a3c-468f-b099-00b0698cc62a</vt:lpwstr>
  </property>
  <property fmtid="{D5CDD505-2E9C-101B-9397-08002B2CF9AE}" pid="12" name="MSIP_Label_56ed5bf2-0776-40a4-adb3-b6e932de19b6_ContentBits">
    <vt:lpwstr>0</vt:lpwstr>
  </property>
  <property fmtid="{D5CDD505-2E9C-101B-9397-08002B2CF9AE}" pid="13" name="MSIP_Label_56ed5bf2-0776-40a4-adb3-b6e932de19b6_Tag">
    <vt:lpwstr>10, 3, 0, 1</vt:lpwstr>
  </property>
</Properties>
</file>